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&#65279;<?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 Id="SZWFK6GP79TQ06HGQKRNQL007NN0OXPRES0XHJD7XFF8TDWT60BRPCJFFSTTPD6RBEMXOOL0ZIAD8PNJROFTIF8Q8RMMWILBBSOOYHB3AD67020F7CC01234BF74ABD72E48ADEE" Type="http://schemas.microsoft.com/office/2006/relationships/officeDocumentMain" Target="docProps/core.xml"/><Relationship Id="DPWFP6GJ79UQ00TG9ZR8QL0J7NZMOXVREU0XLJDWXFMRTFLT66BJICJXFS6TP8IRXXMXLOZMZIX78LJJRUFTDF8Q8RMMWIWBAEOOIHB3DD9BFE2A6B0954B9F1683D20EBDFDB51" Type="http://schemas.microsoft.com/office/2006/relationships/officeDocumentExtended"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17737A">
      <w:pPr>
        <w:tabs>
          <w:tab w:val="left" w:pos="315"/>
          <w:tab w:val="left" w:pos="8820"/>
        </w:tabs>
        <w:spacing w:before="312" w:beforeLines="100" w:after="156" w:afterLines="50" w:line="500" w:lineRule="exact"/>
        <w:ind w:right="267" w:rightChars="127"/>
        <w:jc w:val="center"/>
        <w:rPr>
          <w:rFonts w:ascii="宋体" w:hAnsi="宋体" w:eastAsia="宋体"/>
          <w:b/>
          <w:bCs/>
          <w:sz w:val="52"/>
          <w:szCs w:val="52"/>
        </w:rPr>
      </w:pPr>
      <w:r>
        <w:rPr>
          <w:rFonts w:hint="eastAsia" w:ascii="宋体" w:hAnsi="宋体" w:eastAsia="宋体"/>
          <w:b/>
          <w:bCs/>
          <w:sz w:val="52"/>
          <w:szCs w:val="52"/>
        </w:rPr>
        <w:t xml:space="preserve"> </w:t>
      </w:r>
    </w:p>
    <w:p w14:paraId="29B5BE87">
      <w:pPr>
        <w:tabs>
          <w:tab w:val="left" w:pos="315"/>
          <w:tab w:val="left" w:pos="8820"/>
        </w:tabs>
        <w:spacing w:before="312" w:beforeLines="100" w:after="156" w:afterLines="50" w:line="500" w:lineRule="exact"/>
        <w:ind w:right="267" w:rightChars="127"/>
        <w:jc w:val="center"/>
        <w:rPr>
          <w:rFonts w:ascii="宋体" w:hAnsi="宋体" w:eastAsia="宋体"/>
          <w:b/>
          <w:bCs/>
          <w:sz w:val="52"/>
          <w:szCs w:val="52"/>
        </w:rPr>
      </w:pPr>
    </w:p>
    <w:p w14:paraId="38B07DDF">
      <w:pPr>
        <w:tabs>
          <w:tab w:val="left" w:pos="315"/>
          <w:tab w:val="left" w:pos="8820"/>
        </w:tabs>
        <w:spacing w:before="312" w:beforeLines="100" w:after="156" w:afterLines="50" w:line="500" w:lineRule="exact"/>
        <w:ind w:right="267" w:rightChars="127"/>
        <w:jc w:val="center"/>
        <w:rPr>
          <w:rFonts w:ascii="宋体" w:hAnsi="宋体" w:eastAsia="宋体"/>
          <w:b/>
          <w:bCs/>
          <w:sz w:val="52"/>
          <w:szCs w:val="52"/>
        </w:rPr>
      </w:pPr>
      <w:bookmarkStart w:id="0" w:name="_Hlk9544796"/>
      <w:r>
        <w:rPr>
          <w:rFonts w:hint="eastAsia" w:ascii="宋体" w:hAnsi="宋体" w:eastAsia="宋体"/>
          <w:b/>
          <w:bCs/>
          <w:sz w:val="52"/>
          <w:szCs w:val="52"/>
        </w:rPr>
        <w:t>宁波通商银行采购项目</w:t>
      </w:r>
    </w:p>
    <w:p w14:paraId="754424BA">
      <w:pPr>
        <w:tabs>
          <w:tab w:val="left" w:pos="315"/>
          <w:tab w:val="left" w:pos="8820"/>
        </w:tabs>
        <w:spacing w:before="312" w:beforeLines="100" w:after="156" w:afterLines="50" w:line="500" w:lineRule="exact"/>
        <w:ind w:right="267" w:rightChars="127"/>
        <w:jc w:val="center"/>
        <w:rPr>
          <w:rFonts w:ascii="宋体" w:hAnsi="宋体" w:eastAsia="宋体"/>
          <w:b/>
          <w:bCs/>
          <w:sz w:val="52"/>
          <w:szCs w:val="52"/>
        </w:rPr>
      </w:pPr>
      <w:r>
        <w:rPr>
          <w:rFonts w:hint="eastAsia" w:ascii="宋体" w:hAnsi="宋体" w:eastAsia="宋体"/>
          <w:b/>
          <w:bCs/>
          <w:sz w:val="52"/>
          <w:szCs w:val="52"/>
        </w:rPr>
        <w:t>公开招标文件</w:t>
      </w:r>
      <w:bookmarkEnd w:id="0"/>
    </w:p>
    <w:p w14:paraId="396A2159">
      <w:pPr>
        <w:tabs>
          <w:tab w:val="left" w:pos="315"/>
          <w:tab w:val="left" w:pos="8820"/>
        </w:tabs>
        <w:spacing w:before="312" w:beforeLines="100" w:after="156" w:afterLines="50" w:line="500" w:lineRule="exact"/>
        <w:ind w:right="267" w:rightChars="127"/>
        <w:jc w:val="center"/>
        <w:rPr>
          <w:rFonts w:ascii="宋体" w:hAnsi="宋体" w:eastAsia="宋体"/>
          <w:b/>
          <w:bCs/>
          <w:sz w:val="52"/>
          <w:szCs w:val="52"/>
        </w:rPr>
      </w:pPr>
      <w:r>
        <w:rPr>
          <w:rFonts w:hint="eastAsia" w:ascii="宋体" w:hAnsi="宋体" w:eastAsia="宋体"/>
          <w:b/>
          <w:bCs/>
          <w:sz w:val="52"/>
          <w:szCs w:val="52"/>
        </w:rPr>
        <w:t>（货物类）</w:t>
      </w:r>
    </w:p>
    <w:p w14:paraId="3A829AFD">
      <w:pPr>
        <w:tabs>
          <w:tab w:val="left" w:pos="315"/>
          <w:tab w:val="left" w:pos="8820"/>
        </w:tabs>
        <w:spacing w:before="312" w:beforeLines="100" w:after="156" w:afterLines="50" w:line="500" w:lineRule="exact"/>
        <w:ind w:right="267" w:rightChars="127"/>
        <w:jc w:val="center"/>
        <w:rPr>
          <w:rFonts w:ascii="宋体" w:hAnsi="宋体" w:eastAsia="宋体"/>
          <w:b/>
          <w:bCs/>
          <w:sz w:val="44"/>
          <w:szCs w:val="44"/>
        </w:rPr>
      </w:pPr>
    </w:p>
    <w:p w14:paraId="09923633">
      <w:pPr>
        <w:pStyle w:val="2"/>
        <w:rPr>
          <w:lang w:val="en-US"/>
        </w:rPr>
      </w:pPr>
    </w:p>
    <w:p w14:paraId="4936055D">
      <w:pPr>
        <w:pStyle w:val="2"/>
        <w:rPr>
          <w:lang w:val="en-US"/>
        </w:rPr>
      </w:pPr>
    </w:p>
    <w:p w14:paraId="38789B86">
      <w:pPr>
        <w:tabs>
          <w:tab w:val="left" w:pos="315"/>
          <w:tab w:val="left" w:pos="8820"/>
        </w:tabs>
        <w:spacing w:before="312" w:beforeLines="100" w:after="156" w:afterLines="50" w:line="500" w:lineRule="exact"/>
        <w:ind w:right="267" w:rightChars="127"/>
        <w:jc w:val="center"/>
        <w:rPr>
          <w:rFonts w:ascii="宋体" w:hAnsi="宋体" w:eastAsia="宋体"/>
          <w:b/>
          <w:bCs/>
          <w:sz w:val="44"/>
          <w:szCs w:val="44"/>
        </w:rPr>
      </w:pPr>
    </w:p>
    <w:p w14:paraId="05F33C40">
      <w:pPr>
        <w:tabs>
          <w:tab w:val="left" w:pos="315"/>
          <w:tab w:val="left" w:pos="8820"/>
        </w:tabs>
        <w:spacing w:before="312" w:beforeLines="100" w:after="156" w:afterLines="50" w:line="500" w:lineRule="exact"/>
        <w:ind w:right="267" w:rightChars="127"/>
        <w:jc w:val="center"/>
        <w:rPr>
          <w:rFonts w:ascii="宋体" w:hAnsi="宋体" w:eastAsia="宋体"/>
          <w:b/>
          <w:bCs/>
          <w:sz w:val="44"/>
          <w:szCs w:val="44"/>
        </w:rPr>
      </w:pPr>
    </w:p>
    <w:p w14:paraId="5F5B0B2F">
      <w:pPr>
        <w:tabs>
          <w:tab w:val="left" w:pos="315"/>
          <w:tab w:val="left" w:pos="8820"/>
        </w:tabs>
        <w:spacing w:before="312" w:beforeLines="100" w:after="156" w:afterLines="50" w:line="500" w:lineRule="exact"/>
        <w:ind w:right="267" w:rightChars="127"/>
        <w:jc w:val="center"/>
        <w:rPr>
          <w:rFonts w:ascii="宋体" w:hAnsi="宋体" w:eastAsia="宋体"/>
          <w:b/>
          <w:bCs/>
          <w:sz w:val="44"/>
          <w:szCs w:val="44"/>
        </w:rPr>
      </w:pPr>
    </w:p>
    <w:p w14:paraId="42C90329">
      <w:pPr>
        <w:tabs>
          <w:tab w:val="left" w:pos="315"/>
          <w:tab w:val="left" w:pos="8820"/>
        </w:tabs>
        <w:spacing w:before="312" w:beforeLines="100" w:after="156" w:afterLines="50" w:line="500" w:lineRule="exact"/>
        <w:ind w:right="267" w:rightChars="127"/>
        <w:jc w:val="center"/>
        <w:rPr>
          <w:rFonts w:ascii="宋体" w:hAnsi="宋体" w:eastAsia="宋体"/>
          <w:b/>
          <w:bCs/>
          <w:sz w:val="44"/>
          <w:szCs w:val="44"/>
        </w:rPr>
      </w:pPr>
    </w:p>
    <w:p w14:paraId="348B03C0">
      <w:pPr>
        <w:tabs>
          <w:tab w:val="left" w:pos="2410"/>
        </w:tabs>
        <w:autoSpaceDE w:val="0"/>
        <w:autoSpaceDN w:val="0"/>
        <w:adjustRightInd w:val="0"/>
        <w:snapToGrid w:val="0"/>
        <w:spacing w:line="360" w:lineRule="auto"/>
        <w:ind w:firstLine="723" w:firstLineChars="200"/>
        <w:rPr>
          <w:rFonts w:ascii="宋体" w:hAnsi="宋体" w:eastAsia="宋体"/>
          <w:b/>
          <w:spacing w:val="20"/>
          <w:kern w:val="0"/>
          <w:sz w:val="32"/>
          <w:szCs w:val="32"/>
        </w:rPr>
      </w:pPr>
      <w:r>
        <w:rPr>
          <w:rFonts w:hint="eastAsia" w:ascii="宋体" w:hAnsi="宋体" w:eastAsia="宋体"/>
          <w:b/>
          <w:spacing w:val="20"/>
          <w:kern w:val="0"/>
          <w:sz w:val="32"/>
          <w:szCs w:val="32"/>
        </w:rPr>
        <w:t>项目名称：</w:t>
      </w:r>
      <w:r>
        <w:rPr>
          <w:rFonts w:hint="eastAsia" w:ascii="宋体" w:hAnsi="宋体" w:eastAsia="宋体"/>
          <w:b/>
          <w:spacing w:val="20"/>
          <w:kern w:val="0"/>
          <w:sz w:val="32"/>
          <w:szCs w:val="32"/>
          <w:u w:val="single"/>
        </w:rPr>
        <w:t xml:space="preserve"> </w:t>
      </w:r>
      <w:r>
        <w:rPr>
          <w:rFonts w:hint="eastAsia" w:ascii="宋体" w:hAnsi="宋体" w:eastAsia="宋体"/>
          <w:b/>
          <w:spacing w:val="20"/>
          <w:kern w:val="0"/>
          <w:sz w:val="32"/>
          <w:szCs w:val="32"/>
          <w:u w:val="single"/>
          <w:lang w:val="zh-CN"/>
        </w:rPr>
        <w:t>宁波通商银行</w:t>
      </w:r>
      <w:r>
        <w:rPr>
          <w:rFonts w:ascii="宋体" w:hAnsi="宋体" w:eastAsia="宋体"/>
          <w:b/>
          <w:spacing w:val="20"/>
          <w:kern w:val="0"/>
          <w:sz w:val="32"/>
          <w:szCs w:val="32"/>
          <w:u w:val="single"/>
          <w:lang w:val="zh-CN"/>
        </w:rPr>
        <w:t>2026-2027年度金融IC借记卡制卡及个人化服务供应商入围框架采购项目</w:t>
      </w:r>
      <w:r>
        <w:rPr>
          <w:rFonts w:hint="eastAsia" w:ascii="宋体" w:hAnsi="宋体" w:eastAsia="宋体"/>
          <w:b/>
          <w:spacing w:val="20"/>
          <w:kern w:val="0"/>
          <w:sz w:val="32"/>
          <w:szCs w:val="32"/>
          <w:u w:val="single"/>
          <w:lang w:val="zh-CN"/>
        </w:rPr>
        <w:t xml:space="preserve"> </w:t>
      </w:r>
    </w:p>
    <w:p w14:paraId="541BBE02">
      <w:pPr>
        <w:tabs>
          <w:tab w:val="left" w:pos="2410"/>
        </w:tabs>
        <w:autoSpaceDE w:val="0"/>
        <w:autoSpaceDN w:val="0"/>
        <w:adjustRightInd w:val="0"/>
        <w:snapToGrid w:val="0"/>
        <w:spacing w:line="360" w:lineRule="auto"/>
        <w:ind w:firstLine="723" w:firstLineChars="200"/>
        <w:rPr>
          <w:rFonts w:ascii="宋体" w:hAnsi="宋体" w:eastAsia="宋体"/>
          <w:b/>
          <w:spacing w:val="20"/>
          <w:kern w:val="0"/>
          <w:sz w:val="32"/>
          <w:szCs w:val="32"/>
        </w:rPr>
      </w:pPr>
      <w:r>
        <w:rPr>
          <w:rFonts w:hint="eastAsia" w:ascii="宋体" w:hAnsi="宋体" w:eastAsia="宋体"/>
          <w:b/>
          <w:spacing w:val="20"/>
          <w:kern w:val="0"/>
          <w:sz w:val="32"/>
          <w:szCs w:val="32"/>
        </w:rPr>
        <w:t>项目编号：</w:t>
      </w:r>
      <w:r>
        <w:rPr>
          <w:rFonts w:hint="eastAsia" w:ascii="宋体" w:hAnsi="宋体" w:eastAsia="宋体"/>
          <w:b/>
          <w:spacing w:val="20"/>
          <w:kern w:val="0"/>
          <w:sz w:val="32"/>
          <w:szCs w:val="32"/>
          <w:u w:val="single"/>
        </w:rPr>
        <w:t xml:space="preserve"> </w:t>
      </w:r>
      <w:r>
        <w:rPr>
          <w:rFonts w:ascii="宋体" w:hAnsi="宋体" w:eastAsia="宋体"/>
          <w:b/>
          <w:spacing w:val="20"/>
          <w:kern w:val="0"/>
          <w:sz w:val="32"/>
          <w:szCs w:val="32"/>
          <w:u w:val="single"/>
        </w:rPr>
        <w:t xml:space="preserve">     TSCG-2026-</w:t>
      </w:r>
      <w:r>
        <w:rPr>
          <w:rFonts w:hint="eastAsia" w:ascii="宋体" w:hAnsi="宋体" w:eastAsia="宋体"/>
          <w:b/>
          <w:spacing w:val="20"/>
          <w:kern w:val="0"/>
          <w:sz w:val="32"/>
          <w:szCs w:val="32"/>
          <w:u w:val="single"/>
          <w:lang w:val="en-US" w:eastAsia="zh-CN"/>
        </w:rPr>
        <w:t>58</w:t>
      </w:r>
      <w:r>
        <w:rPr>
          <w:rFonts w:ascii="宋体" w:hAnsi="宋体" w:eastAsia="宋体"/>
          <w:b/>
          <w:spacing w:val="20"/>
          <w:kern w:val="0"/>
          <w:sz w:val="32"/>
          <w:szCs w:val="32"/>
          <w:u w:val="single"/>
        </w:rPr>
        <w:t xml:space="preserve">       </w:t>
      </w:r>
    </w:p>
    <w:p w14:paraId="475523B9">
      <w:pPr>
        <w:tabs>
          <w:tab w:val="left" w:pos="2410"/>
        </w:tabs>
        <w:autoSpaceDE w:val="0"/>
        <w:autoSpaceDN w:val="0"/>
        <w:adjustRightInd w:val="0"/>
        <w:snapToGrid w:val="0"/>
        <w:spacing w:line="360" w:lineRule="auto"/>
        <w:ind w:firstLine="723" w:firstLineChars="200"/>
        <w:rPr>
          <w:rFonts w:ascii="宋体" w:hAnsi="宋体" w:eastAsia="宋体"/>
          <w:b/>
          <w:spacing w:val="20"/>
          <w:kern w:val="0"/>
          <w:sz w:val="32"/>
          <w:szCs w:val="32"/>
        </w:rPr>
      </w:pPr>
      <w:r>
        <w:rPr>
          <w:rFonts w:hint="eastAsia" w:ascii="宋体" w:hAnsi="宋体" w:eastAsia="宋体"/>
          <w:b/>
          <w:spacing w:val="20"/>
          <w:kern w:val="0"/>
          <w:sz w:val="32"/>
          <w:szCs w:val="32"/>
        </w:rPr>
        <w:t>采 购 人：</w:t>
      </w:r>
      <w:r>
        <w:rPr>
          <w:rFonts w:ascii="宋体" w:hAnsi="宋体" w:eastAsia="宋体"/>
          <w:b/>
          <w:spacing w:val="20"/>
          <w:kern w:val="0"/>
          <w:sz w:val="32"/>
          <w:szCs w:val="32"/>
          <w:u w:val="single"/>
          <w:lang w:val="zh-CN"/>
        </w:rPr>
        <w:t>宁波通商银行</w:t>
      </w:r>
      <w:r>
        <w:rPr>
          <w:rFonts w:hint="eastAsia" w:ascii="宋体" w:hAnsi="宋体" w:eastAsia="宋体"/>
          <w:b/>
          <w:spacing w:val="20"/>
          <w:kern w:val="0"/>
          <w:sz w:val="32"/>
          <w:szCs w:val="32"/>
          <w:u w:val="single"/>
          <w:lang w:val="zh-CN"/>
        </w:rPr>
        <w:t>股份</w:t>
      </w:r>
      <w:r>
        <w:rPr>
          <w:rFonts w:ascii="宋体" w:hAnsi="宋体" w:eastAsia="宋体"/>
          <w:b/>
          <w:spacing w:val="20"/>
          <w:kern w:val="0"/>
          <w:sz w:val="32"/>
          <w:szCs w:val="32"/>
          <w:u w:val="single"/>
          <w:lang w:val="zh-CN"/>
        </w:rPr>
        <w:t>有限公司</w:t>
      </w:r>
    </w:p>
    <w:p w14:paraId="2848579C">
      <w:pPr>
        <w:tabs>
          <w:tab w:val="left" w:pos="315"/>
          <w:tab w:val="left" w:pos="8820"/>
        </w:tabs>
        <w:spacing w:before="312" w:beforeLines="100" w:after="156" w:afterLines="50" w:line="500" w:lineRule="exact"/>
        <w:ind w:right="267" w:rightChars="127"/>
        <w:jc w:val="center"/>
        <w:rPr>
          <w:rFonts w:ascii="宋体" w:hAnsi="宋体" w:eastAsia="宋体"/>
          <w:b/>
          <w:bCs/>
          <w:sz w:val="44"/>
          <w:szCs w:val="44"/>
        </w:rPr>
      </w:pPr>
    </w:p>
    <w:p w14:paraId="7A55C89F">
      <w:pPr>
        <w:tabs>
          <w:tab w:val="left" w:pos="2410"/>
        </w:tabs>
        <w:autoSpaceDE w:val="0"/>
        <w:autoSpaceDN w:val="0"/>
        <w:adjustRightInd w:val="0"/>
        <w:snapToGrid w:val="0"/>
        <w:spacing w:line="360" w:lineRule="auto"/>
        <w:jc w:val="center"/>
        <w:rPr>
          <w:rFonts w:ascii="宋体" w:hAnsi="宋体" w:eastAsia="宋体"/>
          <w:b/>
          <w:sz w:val="36"/>
        </w:rPr>
      </w:pPr>
      <w:r>
        <w:rPr>
          <w:rFonts w:ascii="宋体" w:hAnsi="宋体" w:eastAsia="宋体"/>
          <w:b/>
          <w:sz w:val="36"/>
          <w:u w:val="single"/>
        </w:rPr>
        <w:t xml:space="preserve">2026 </w:t>
      </w:r>
      <w:r>
        <w:rPr>
          <w:rFonts w:hint="eastAsia" w:ascii="宋体" w:hAnsi="宋体" w:eastAsia="宋体"/>
          <w:b/>
          <w:sz w:val="36"/>
        </w:rPr>
        <w:t>年</w:t>
      </w:r>
      <w:r>
        <w:rPr>
          <w:rFonts w:hint="eastAsia" w:ascii="宋体" w:hAnsi="宋体" w:eastAsia="宋体"/>
          <w:b/>
          <w:sz w:val="36"/>
          <w:u w:val="single"/>
        </w:rPr>
        <w:t xml:space="preserve"> </w:t>
      </w:r>
      <w:r>
        <w:rPr>
          <w:rFonts w:hint="eastAsia" w:ascii="宋体" w:hAnsi="宋体" w:eastAsia="宋体"/>
          <w:b/>
          <w:sz w:val="36"/>
          <w:u w:val="single"/>
          <w:lang w:val="en-US" w:eastAsia="zh-CN"/>
        </w:rPr>
        <w:t>6</w:t>
      </w:r>
      <w:r>
        <w:rPr>
          <w:rFonts w:ascii="宋体" w:hAnsi="宋体" w:eastAsia="宋体"/>
          <w:b/>
          <w:sz w:val="36"/>
          <w:u w:val="single"/>
        </w:rPr>
        <w:t xml:space="preserve"> </w:t>
      </w:r>
      <w:r>
        <w:rPr>
          <w:rFonts w:hint="eastAsia" w:ascii="宋体" w:hAnsi="宋体" w:eastAsia="宋体"/>
          <w:b/>
          <w:sz w:val="36"/>
        </w:rPr>
        <w:t>月</w:t>
      </w:r>
      <w:r>
        <w:rPr>
          <w:rFonts w:ascii="宋体" w:hAnsi="宋体" w:eastAsia="宋体"/>
          <w:b/>
          <w:sz w:val="36"/>
        </w:rPr>
        <w:br w:type="page"/>
      </w:r>
    </w:p>
    <w:p w14:paraId="47FE6A81">
      <w:pPr>
        <w:tabs>
          <w:tab w:val="left" w:pos="2410"/>
        </w:tabs>
        <w:autoSpaceDE w:val="0"/>
        <w:autoSpaceDN w:val="0"/>
        <w:adjustRightInd w:val="0"/>
        <w:snapToGrid w:val="0"/>
        <w:spacing w:line="360" w:lineRule="auto"/>
        <w:jc w:val="center"/>
        <w:rPr>
          <w:rFonts w:ascii="宋体" w:hAnsi="宋体" w:eastAsia="宋体"/>
          <w:b/>
          <w:sz w:val="28"/>
        </w:rPr>
      </w:pPr>
      <w:r>
        <w:rPr>
          <w:rFonts w:hint="eastAsia" w:ascii="宋体" w:hAnsi="宋体" w:eastAsia="宋体"/>
          <w:b/>
          <w:sz w:val="28"/>
        </w:rPr>
        <w:t>目  录</w:t>
      </w:r>
    </w:p>
    <w:p w14:paraId="0648C2B0">
      <w:pPr>
        <w:pStyle w:val="16"/>
        <w:tabs>
          <w:tab w:val="right" w:leader="dot" w:pos="8306"/>
        </w:tabs>
      </w:pPr>
      <w:r>
        <w:rPr>
          <w:rFonts w:asciiTheme="minorEastAsia" w:hAnsiTheme="minorEastAsia"/>
          <w:b/>
          <w:sz w:val="24"/>
          <w:szCs w:val="24"/>
        </w:rPr>
        <w:fldChar w:fldCharType="begin"/>
      </w:r>
      <w:r>
        <w:rPr>
          <w:rFonts w:asciiTheme="minorEastAsia" w:hAnsiTheme="minorEastAsia"/>
          <w:b/>
          <w:sz w:val="24"/>
          <w:szCs w:val="24"/>
        </w:rPr>
        <w:instrText xml:space="preserve"> </w:instrText>
      </w:r>
      <w:r>
        <w:rPr>
          <w:rFonts w:hint="eastAsia" w:asciiTheme="minorEastAsia" w:hAnsiTheme="minorEastAsia"/>
          <w:b/>
          <w:sz w:val="24"/>
          <w:szCs w:val="24"/>
        </w:rPr>
        <w:instrText xml:space="preserve">TOC \o "1-2" \h \z \u</w:instrText>
      </w:r>
      <w:r>
        <w:rPr>
          <w:rFonts w:asciiTheme="minorEastAsia" w:hAnsiTheme="minorEastAsia"/>
          <w:b/>
          <w:sz w:val="24"/>
          <w:szCs w:val="24"/>
        </w:rPr>
        <w:instrText xml:space="preserve"> </w:instrText>
      </w:r>
      <w:r>
        <w:rPr>
          <w:rFonts w:asciiTheme="minorEastAsia" w:hAnsiTheme="minorEastAsia"/>
          <w:b/>
          <w:sz w:val="24"/>
          <w:szCs w:val="24"/>
        </w:rPr>
        <w:fldChar w:fldCharType="separate"/>
      </w:r>
      <w:r>
        <w:fldChar w:fldCharType="begin"/>
      </w:r>
      <w:r>
        <w:instrText xml:space="preserve"> HYPERLINK \l "_Toc23443" </w:instrText>
      </w:r>
      <w:r>
        <w:fldChar w:fldCharType="separate"/>
      </w:r>
      <w:r>
        <w:rPr>
          <w:rFonts w:hint="eastAsia" w:asciiTheme="minorEastAsia" w:hAnsiTheme="minorEastAsia"/>
        </w:rPr>
        <w:t xml:space="preserve">第一章 </w:t>
      </w:r>
      <w:r>
        <w:rPr>
          <w:rFonts w:asciiTheme="minorEastAsia" w:hAnsiTheme="minorEastAsia"/>
        </w:rPr>
        <w:t xml:space="preserve"> </w:t>
      </w:r>
      <w:r>
        <w:rPr>
          <w:rFonts w:hint="eastAsia" w:asciiTheme="minorEastAsia" w:hAnsiTheme="minorEastAsia"/>
        </w:rPr>
        <w:t>招标公告</w:t>
      </w:r>
      <w:r>
        <w:tab/>
      </w:r>
      <w:r>
        <w:fldChar w:fldCharType="begin"/>
      </w:r>
      <w:r>
        <w:instrText xml:space="preserve"> PAGEREF _Toc23443 \h </w:instrText>
      </w:r>
      <w:r>
        <w:fldChar w:fldCharType="separate"/>
      </w:r>
      <w:r>
        <w:t>1</w:t>
      </w:r>
      <w:r>
        <w:fldChar w:fldCharType="end"/>
      </w:r>
      <w:r>
        <w:fldChar w:fldCharType="end"/>
      </w:r>
    </w:p>
    <w:p w14:paraId="30619C07">
      <w:pPr>
        <w:pStyle w:val="16"/>
        <w:tabs>
          <w:tab w:val="right" w:leader="dot" w:pos="8306"/>
        </w:tabs>
      </w:pPr>
      <w:r>
        <w:fldChar w:fldCharType="begin"/>
      </w:r>
      <w:r>
        <w:instrText xml:space="preserve"> HYPERLINK \l "_Toc31935" </w:instrText>
      </w:r>
      <w:r>
        <w:fldChar w:fldCharType="separate"/>
      </w:r>
      <w:r>
        <w:rPr>
          <w:rFonts w:hint="eastAsia" w:asciiTheme="minorEastAsia" w:hAnsiTheme="minorEastAsia"/>
        </w:rPr>
        <w:t>第二章</w:t>
      </w:r>
      <w:r>
        <w:rPr>
          <w:rFonts w:asciiTheme="minorEastAsia" w:hAnsiTheme="minorEastAsia"/>
        </w:rPr>
        <w:t xml:space="preserve"> </w:t>
      </w:r>
      <w:r>
        <w:rPr>
          <w:rFonts w:hint="eastAsia" w:asciiTheme="minorEastAsia" w:hAnsiTheme="minorEastAsia"/>
        </w:rPr>
        <w:t xml:space="preserve"> </w:t>
      </w:r>
      <w:r>
        <w:rPr>
          <w:rFonts w:asciiTheme="minorEastAsia" w:hAnsiTheme="minorEastAsia"/>
        </w:rPr>
        <w:t>投标人须知</w:t>
      </w:r>
      <w:r>
        <w:tab/>
      </w:r>
      <w:r>
        <w:fldChar w:fldCharType="begin"/>
      </w:r>
      <w:r>
        <w:instrText xml:space="preserve"> PAGEREF _Toc31935 \h </w:instrText>
      </w:r>
      <w:r>
        <w:fldChar w:fldCharType="separate"/>
      </w:r>
      <w:r>
        <w:t>3</w:t>
      </w:r>
      <w:r>
        <w:fldChar w:fldCharType="end"/>
      </w:r>
      <w:r>
        <w:fldChar w:fldCharType="end"/>
      </w:r>
    </w:p>
    <w:p w14:paraId="2BAB73F6">
      <w:pPr>
        <w:pStyle w:val="16"/>
        <w:tabs>
          <w:tab w:val="right" w:leader="dot" w:pos="8306"/>
        </w:tabs>
      </w:pPr>
      <w:r>
        <w:fldChar w:fldCharType="begin"/>
      </w:r>
      <w:r>
        <w:instrText xml:space="preserve"> HYPERLINK \l "_Toc10891" </w:instrText>
      </w:r>
      <w:r>
        <w:fldChar w:fldCharType="separate"/>
      </w:r>
      <w:r>
        <w:rPr>
          <w:rFonts w:hint="eastAsia" w:asciiTheme="minorEastAsia" w:hAnsiTheme="minorEastAsia"/>
        </w:rPr>
        <w:t>第三章  采购需求</w:t>
      </w:r>
      <w:r>
        <w:tab/>
      </w:r>
      <w:r>
        <w:fldChar w:fldCharType="begin"/>
      </w:r>
      <w:r>
        <w:instrText xml:space="preserve"> PAGEREF _Toc10891 \h </w:instrText>
      </w:r>
      <w:r>
        <w:fldChar w:fldCharType="separate"/>
      </w:r>
      <w:r>
        <w:t>18</w:t>
      </w:r>
      <w:r>
        <w:fldChar w:fldCharType="end"/>
      </w:r>
      <w:r>
        <w:fldChar w:fldCharType="end"/>
      </w:r>
    </w:p>
    <w:p w14:paraId="6B8C7FC7">
      <w:pPr>
        <w:pStyle w:val="16"/>
        <w:tabs>
          <w:tab w:val="right" w:leader="dot" w:pos="8306"/>
        </w:tabs>
      </w:pPr>
      <w:r>
        <w:fldChar w:fldCharType="begin"/>
      </w:r>
      <w:r>
        <w:instrText xml:space="preserve"> HYPERLINK \l "_Toc16417" </w:instrText>
      </w:r>
      <w:r>
        <w:fldChar w:fldCharType="separate"/>
      </w:r>
      <w:r>
        <w:rPr>
          <w:rFonts w:hint="eastAsia" w:asciiTheme="minorEastAsia" w:hAnsiTheme="minorEastAsia"/>
        </w:rPr>
        <w:t>第四章  评标方法和标准（综合评分法）</w:t>
      </w:r>
      <w:r>
        <w:tab/>
      </w:r>
      <w:r>
        <w:fldChar w:fldCharType="begin"/>
      </w:r>
      <w:r>
        <w:instrText xml:space="preserve"> PAGEREF _Toc16417 \h </w:instrText>
      </w:r>
      <w:r>
        <w:fldChar w:fldCharType="separate"/>
      </w:r>
      <w:r>
        <w:t>24</w:t>
      </w:r>
      <w:r>
        <w:fldChar w:fldCharType="end"/>
      </w:r>
      <w:r>
        <w:fldChar w:fldCharType="end"/>
      </w:r>
    </w:p>
    <w:p w14:paraId="080EE637">
      <w:pPr>
        <w:pStyle w:val="16"/>
        <w:tabs>
          <w:tab w:val="right" w:leader="dot" w:pos="8306"/>
        </w:tabs>
      </w:pPr>
      <w:r>
        <w:fldChar w:fldCharType="begin"/>
      </w:r>
      <w:r>
        <w:instrText xml:space="preserve"> HYPERLINK \l "_Toc4682" </w:instrText>
      </w:r>
      <w:r>
        <w:fldChar w:fldCharType="separate"/>
      </w:r>
      <w:r>
        <w:rPr>
          <w:rFonts w:hint="eastAsia" w:asciiTheme="minorEastAsia" w:hAnsiTheme="minorEastAsia"/>
        </w:rPr>
        <w:t xml:space="preserve">第五章  </w:t>
      </w:r>
      <w:r>
        <w:rPr>
          <w:rFonts w:asciiTheme="minorEastAsia" w:hAnsiTheme="minorEastAsia"/>
        </w:rPr>
        <w:t>采购合同</w:t>
      </w:r>
      <w:r>
        <w:tab/>
      </w:r>
      <w:r>
        <w:fldChar w:fldCharType="begin"/>
      </w:r>
      <w:r>
        <w:instrText xml:space="preserve"> PAGEREF _Toc4682 \h </w:instrText>
      </w:r>
      <w:r>
        <w:fldChar w:fldCharType="separate"/>
      </w:r>
      <w:r>
        <w:t>28</w:t>
      </w:r>
      <w:r>
        <w:fldChar w:fldCharType="end"/>
      </w:r>
      <w:r>
        <w:fldChar w:fldCharType="end"/>
      </w:r>
    </w:p>
    <w:p w14:paraId="3EA27544">
      <w:pPr>
        <w:pStyle w:val="16"/>
        <w:tabs>
          <w:tab w:val="right" w:leader="dot" w:pos="8306"/>
        </w:tabs>
      </w:pPr>
      <w:r>
        <w:fldChar w:fldCharType="begin"/>
      </w:r>
      <w:r>
        <w:instrText xml:space="preserve"> HYPERLINK \l "_Toc22492" </w:instrText>
      </w:r>
      <w:r>
        <w:fldChar w:fldCharType="separate"/>
      </w:r>
      <w:r>
        <w:rPr>
          <w:rFonts w:hint="eastAsia" w:asciiTheme="minorEastAsia" w:hAnsiTheme="minorEastAsia"/>
        </w:rPr>
        <w:t>第六章  投标文件格式</w:t>
      </w:r>
      <w:r>
        <w:tab/>
      </w:r>
      <w:r>
        <w:fldChar w:fldCharType="begin"/>
      </w:r>
      <w:r>
        <w:instrText xml:space="preserve"> PAGEREF _Toc22492 \h </w:instrText>
      </w:r>
      <w:r>
        <w:fldChar w:fldCharType="separate"/>
      </w:r>
      <w:r>
        <w:t>37</w:t>
      </w:r>
      <w:r>
        <w:fldChar w:fldCharType="end"/>
      </w:r>
      <w:r>
        <w:fldChar w:fldCharType="end"/>
      </w:r>
    </w:p>
    <w:p w14:paraId="79798EC3">
      <w:pPr>
        <w:spacing w:line="360" w:lineRule="auto"/>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asciiTheme="minorEastAsia" w:hAnsiTheme="minorEastAsia" w:eastAsiaTheme="minorEastAsia"/>
          <w:szCs w:val="24"/>
        </w:rPr>
        <w:fldChar w:fldCharType="end"/>
      </w:r>
    </w:p>
    <w:p w14:paraId="4766BF9B">
      <w:pPr>
        <w:spacing w:line="360" w:lineRule="auto"/>
        <w:jc w:val="center"/>
        <w:outlineLvl w:val="0"/>
        <w:rPr>
          <w:rFonts w:asciiTheme="minorEastAsia" w:hAnsiTheme="minorEastAsia" w:eastAsiaTheme="minorEastAsia"/>
          <w:b/>
          <w:sz w:val="28"/>
        </w:rPr>
      </w:pPr>
      <w:bookmarkStart w:id="1" w:name="_Toc23443"/>
      <w:r>
        <w:rPr>
          <w:rFonts w:hint="eastAsia" w:asciiTheme="minorEastAsia" w:hAnsiTheme="minorEastAsia" w:eastAsiaTheme="minorEastAsia"/>
          <w:b/>
          <w:sz w:val="28"/>
        </w:rPr>
        <w:t xml:space="preserve">第一章 </w:t>
      </w:r>
      <w:r>
        <w:rPr>
          <w:rFonts w:asciiTheme="minorEastAsia" w:hAnsiTheme="minorEastAsia" w:eastAsiaTheme="minorEastAsia"/>
          <w:b/>
          <w:sz w:val="28"/>
        </w:rPr>
        <w:t xml:space="preserve"> 招标公告</w:t>
      </w:r>
      <w:bookmarkEnd w:id="1"/>
    </w:p>
    <w:p w14:paraId="4BD18562">
      <w:pPr>
        <w:spacing w:line="360" w:lineRule="auto"/>
        <w:ind w:firstLine="437"/>
        <w:outlineLvl w:val="1"/>
        <w:rPr>
          <w:rFonts w:ascii="宋体" w:hAnsi="宋体" w:eastAsia="宋体"/>
          <w:b/>
          <w:bCs/>
          <w:sz w:val="24"/>
          <w:szCs w:val="18"/>
        </w:rPr>
      </w:pPr>
      <w:bookmarkStart w:id="2" w:name="_Toc1381"/>
      <w:bookmarkStart w:id="3" w:name="_Toc5842"/>
      <w:r>
        <w:rPr>
          <w:rFonts w:hint="eastAsia" w:ascii="宋体" w:hAnsi="宋体" w:eastAsia="宋体"/>
          <w:b/>
          <w:bCs/>
          <w:sz w:val="24"/>
          <w:szCs w:val="18"/>
        </w:rPr>
        <w:t>一、</w:t>
      </w:r>
      <w:bookmarkEnd w:id="2"/>
      <w:r>
        <w:rPr>
          <w:rFonts w:hint="eastAsia" w:ascii="宋体" w:hAnsi="宋体" w:eastAsia="宋体"/>
          <w:b/>
          <w:bCs/>
          <w:sz w:val="24"/>
          <w:szCs w:val="18"/>
        </w:rPr>
        <w:t>项目基本情况</w:t>
      </w:r>
      <w:bookmarkEnd w:id="3"/>
    </w:p>
    <w:p w14:paraId="3FF6E5E8">
      <w:pPr>
        <w:spacing w:line="360" w:lineRule="auto"/>
        <w:ind w:firstLine="435"/>
        <w:rPr>
          <w:rFonts w:hint="default" w:eastAsia="宋体" w:asciiTheme="minorEastAsia" w:hAnsiTheme="minorEastAsia"/>
          <w:sz w:val="24"/>
          <w:lang w:val="en-US" w:eastAsia="zh-CN"/>
        </w:rPr>
      </w:pPr>
      <w:r>
        <w:rPr>
          <w:rFonts w:hint="eastAsia" w:asciiTheme="minorEastAsia" w:hAnsiTheme="minorEastAsia" w:eastAsiaTheme="minorEastAsia"/>
          <w:sz w:val="24"/>
        </w:rPr>
        <w:t>1.项目编号：</w:t>
      </w:r>
      <w:r>
        <w:rPr>
          <w:rFonts w:ascii="宋体" w:hAnsi="宋体" w:eastAsia="宋体"/>
          <w:b/>
          <w:sz w:val="24"/>
          <w:szCs w:val="18"/>
          <w:u w:val="single"/>
        </w:rPr>
        <w:t>TSCG-2026-</w:t>
      </w:r>
      <w:r>
        <w:rPr>
          <w:rFonts w:hint="eastAsia" w:ascii="宋体" w:hAnsi="宋体" w:eastAsia="宋体"/>
          <w:b/>
          <w:sz w:val="24"/>
          <w:szCs w:val="18"/>
          <w:u w:val="single"/>
          <w:lang w:val="en-US" w:eastAsia="zh-CN"/>
        </w:rPr>
        <w:t>58</w:t>
      </w:r>
    </w:p>
    <w:p w14:paraId="7DDEBEEF">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2.项目名称：</w:t>
      </w:r>
      <w:r>
        <w:rPr>
          <w:rFonts w:hint="eastAsia" w:ascii="宋体" w:hAnsi="宋体" w:eastAsia="宋体"/>
          <w:b/>
          <w:sz w:val="24"/>
          <w:szCs w:val="18"/>
          <w:u w:val="single"/>
          <w:lang w:val="zh-CN"/>
        </w:rPr>
        <w:t>宁波通商银行</w:t>
      </w:r>
      <w:r>
        <w:rPr>
          <w:rFonts w:ascii="宋体" w:hAnsi="宋体" w:eastAsia="宋体"/>
          <w:b/>
          <w:sz w:val="24"/>
          <w:szCs w:val="18"/>
          <w:u w:val="single"/>
          <w:lang w:val="zh-CN"/>
        </w:rPr>
        <w:t>2026-2027年度金融IC借记卡制卡及个人化服务供应商入围框架采购项目</w:t>
      </w:r>
    </w:p>
    <w:p w14:paraId="2D472BFC">
      <w:pPr>
        <w:spacing w:line="360" w:lineRule="auto"/>
        <w:ind w:firstLine="435"/>
        <w:rPr>
          <w:rFonts w:ascii="宋体" w:hAnsi="宋体" w:eastAsia="宋体"/>
          <w:sz w:val="24"/>
          <w:szCs w:val="18"/>
          <w:u w:val="single"/>
        </w:rPr>
      </w:pPr>
      <w:r>
        <w:rPr>
          <w:rFonts w:hint="eastAsia" w:asciiTheme="minorEastAsia" w:hAnsiTheme="minorEastAsia" w:eastAsiaTheme="minorEastAsia"/>
          <w:sz w:val="24"/>
        </w:rPr>
        <w:t>3.预算金额（最高</w:t>
      </w:r>
      <w:r>
        <w:rPr>
          <w:rFonts w:asciiTheme="minorEastAsia" w:hAnsiTheme="minorEastAsia" w:eastAsiaTheme="minorEastAsia"/>
          <w:sz w:val="24"/>
        </w:rPr>
        <w:t>限价）</w:t>
      </w:r>
      <w:r>
        <w:rPr>
          <w:rFonts w:hint="eastAsia" w:asciiTheme="minorEastAsia" w:hAnsiTheme="minorEastAsia" w:eastAsiaTheme="minorEastAsia"/>
          <w:sz w:val="24"/>
        </w:rPr>
        <w:t>：</w:t>
      </w:r>
      <w:r>
        <w:rPr>
          <w:rFonts w:hint="eastAsia" w:ascii="宋体" w:hAnsi="宋体" w:eastAsia="宋体"/>
          <w:sz w:val="24"/>
          <w:szCs w:val="18"/>
          <w:u w:val="single"/>
        </w:rPr>
        <w:t>详见下表</w:t>
      </w:r>
    </w:p>
    <w:tbl>
      <w:tblPr>
        <w:tblStyle w:val="22"/>
        <w:tblW w:w="8318" w:type="dxa"/>
        <w:tblInd w:w="93" w:type="dxa"/>
        <w:tblLayout w:type="autofit"/>
        <w:tblCellMar>
          <w:top w:w="0" w:type="dxa"/>
          <w:left w:w="108" w:type="dxa"/>
          <w:bottom w:w="0" w:type="dxa"/>
          <w:right w:w="108" w:type="dxa"/>
        </w:tblCellMar>
      </w:tblPr>
      <w:tblGrid>
        <w:gridCol w:w="1356"/>
        <w:gridCol w:w="2194"/>
        <w:gridCol w:w="1325"/>
        <w:gridCol w:w="3443"/>
      </w:tblGrid>
      <w:tr w14:paraId="2A2EA7CA">
        <w:tblPrEx>
          <w:tblCellMar>
            <w:top w:w="0" w:type="dxa"/>
            <w:left w:w="108" w:type="dxa"/>
            <w:bottom w:w="0" w:type="dxa"/>
            <w:right w:w="108" w:type="dxa"/>
          </w:tblCellMar>
        </w:tblPrEx>
        <w:trPr>
          <w:trHeight w:val="54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2BB05">
            <w:pPr>
              <w:widowControl/>
              <w:jc w:val="left"/>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明细</w:t>
            </w:r>
          </w:p>
        </w:tc>
        <w:tc>
          <w:tcPr>
            <w:tcW w:w="2194" w:type="dxa"/>
            <w:tcBorders>
              <w:top w:val="single" w:color="000000" w:sz="4" w:space="0"/>
              <w:left w:val="nil"/>
              <w:bottom w:val="single" w:color="000000" w:sz="4" w:space="0"/>
              <w:right w:val="single" w:color="000000" w:sz="4" w:space="0"/>
            </w:tcBorders>
            <w:shd w:val="clear" w:color="auto" w:fill="auto"/>
            <w:vAlign w:val="center"/>
          </w:tcPr>
          <w:p w14:paraId="3440282B">
            <w:pPr>
              <w:widowControl/>
              <w:jc w:val="left"/>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制作要求</w:t>
            </w:r>
          </w:p>
        </w:tc>
        <w:tc>
          <w:tcPr>
            <w:tcW w:w="1325" w:type="dxa"/>
            <w:tcBorders>
              <w:top w:val="single" w:color="000000" w:sz="4" w:space="0"/>
              <w:left w:val="nil"/>
              <w:bottom w:val="single" w:color="000000" w:sz="4" w:space="0"/>
              <w:right w:val="single" w:color="000000" w:sz="4" w:space="0"/>
            </w:tcBorders>
            <w:shd w:val="clear" w:color="auto" w:fill="auto"/>
            <w:vAlign w:val="center"/>
          </w:tcPr>
          <w:p w14:paraId="25740689">
            <w:pPr>
              <w:widowControl/>
              <w:jc w:val="left"/>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最高限价单价（元/张）</w:t>
            </w:r>
          </w:p>
        </w:tc>
        <w:tc>
          <w:tcPr>
            <w:tcW w:w="3443" w:type="dxa"/>
            <w:tcBorders>
              <w:top w:val="single" w:color="000000" w:sz="4" w:space="0"/>
              <w:left w:val="nil"/>
              <w:bottom w:val="single" w:color="000000" w:sz="4" w:space="0"/>
              <w:right w:val="single" w:color="000000" w:sz="4" w:space="0"/>
            </w:tcBorders>
            <w:shd w:val="clear" w:color="auto" w:fill="auto"/>
            <w:vAlign w:val="center"/>
          </w:tcPr>
          <w:p w14:paraId="06A3567C">
            <w:pPr>
              <w:widowControl/>
              <w:jc w:val="left"/>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备注</w:t>
            </w:r>
          </w:p>
        </w:tc>
      </w:tr>
      <w:tr w14:paraId="613DC758">
        <w:tblPrEx>
          <w:tblCellMar>
            <w:top w:w="0" w:type="dxa"/>
            <w:left w:w="108" w:type="dxa"/>
            <w:bottom w:w="0" w:type="dxa"/>
            <w:right w:w="108" w:type="dxa"/>
          </w:tblCellMar>
        </w:tblPrEx>
        <w:trPr>
          <w:trHeight w:val="1080" w:hRule="atLeast"/>
        </w:trPr>
        <w:tc>
          <w:tcPr>
            <w:tcW w:w="1356" w:type="dxa"/>
            <w:tcBorders>
              <w:top w:val="nil"/>
              <w:left w:val="single" w:color="000000" w:sz="4" w:space="0"/>
              <w:bottom w:val="single" w:color="000000" w:sz="4" w:space="0"/>
              <w:right w:val="single" w:color="000000" w:sz="4" w:space="0"/>
            </w:tcBorders>
            <w:shd w:val="clear" w:color="auto" w:fill="auto"/>
            <w:vAlign w:val="center"/>
          </w:tcPr>
          <w:p w14:paraId="7B1E2C7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借记卡制卡</w:t>
            </w:r>
          </w:p>
        </w:tc>
        <w:tc>
          <w:tcPr>
            <w:tcW w:w="2194" w:type="dxa"/>
            <w:tcBorders>
              <w:top w:val="nil"/>
              <w:left w:val="nil"/>
              <w:bottom w:val="single" w:color="000000" w:sz="4" w:space="0"/>
              <w:right w:val="single" w:color="000000" w:sz="4" w:space="0"/>
            </w:tcBorders>
            <w:shd w:val="clear" w:color="auto" w:fill="auto"/>
            <w:vAlign w:val="center"/>
          </w:tcPr>
          <w:p w14:paraId="06D3DF8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空白IC卡+印刷+封装+个人化</w:t>
            </w:r>
          </w:p>
        </w:tc>
        <w:tc>
          <w:tcPr>
            <w:tcW w:w="1325" w:type="dxa"/>
            <w:tcBorders>
              <w:top w:val="nil"/>
              <w:left w:val="nil"/>
              <w:bottom w:val="single" w:color="000000" w:sz="4" w:space="0"/>
              <w:right w:val="single" w:color="000000" w:sz="4" w:space="0"/>
            </w:tcBorders>
            <w:shd w:val="clear" w:color="auto" w:fill="auto"/>
            <w:vAlign w:val="center"/>
          </w:tcPr>
          <w:p w14:paraId="6C599CE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3443" w:type="dxa"/>
            <w:tcBorders>
              <w:top w:val="nil"/>
              <w:left w:val="nil"/>
              <w:bottom w:val="single" w:color="000000" w:sz="4" w:space="0"/>
              <w:right w:val="single" w:color="000000" w:sz="4" w:space="0"/>
            </w:tcBorders>
            <w:shd w:val="clear" w:color="auto" w:fill="auto"/>
            <w:vAlign w:val="center"/>
          </w:tcPr>
          <w:p w14:paraId="6AB0779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r>
      <w:tr w14:paraId="272ABC46">
        <w:tblPrEx>
          <w:tblCellMar>
            <w:top w:w="0" w:type="dxa"/>
            <w:left w:w="108" w:type="dxa"/>
            <w:bottom w:w="0" w:type="dxa"/>
            <w:right w:w="108" w:type="dxa"/>
          </w:tblCellMar>
        </w:tblPrEx>
        <w:trPr>
          <w:trHeight w:val="1080" w:hRule="atLeast"/>
        </w:trPr>
        <w:tc>
          <w:tcPr>
            <w:tcW w:w="1356" w:type="dxa"/>
            <w:tcBorders>
              <w:top w:val="nil"/>
              <w:left w:val="single" w:color="000000" w:sz="4" w:space="0"/>
              <w:bottom w:val="single" w:color="000000" w:sz="4" w:space="0"/>
              <w:right w:val="single" w:color="000000" w:sz="4" w:space="0"/>
            </w:tcBorders>
            <w:shd w:val="clear" w:color="auto" w:fill="auto"/>
            <w:vAlign w:val="center"/>
          </w:tcPr>
          <w:p w14:paraId="53E2827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借记卡同卡号换卡</w:t>
            </w:r>
          </w:p>
        </w:tc>
        <w:tc>
          <w:tcPr>
            <w:tcW w:w="2194" w:type="dxa"/>
            <w:tcBorders>
              <w:top w:val="nil"/>
              <w:left w:val="nil"/>
              <w:bottom w:val="single" w:color="000000" w:sz="4" w:space="0"/>
              <w:right w:val="single" w:color="000000" w:sz="4" w:space="0"/>
            </w:tcBorders>
            <w:shd w:val="clear" w:color="auto" w:fill="auto"/>
            <w:vAlign w:val="center"/>
          </w:tcPr>
          <w:p w14:paraId="6B1300C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空白IC卡+印刷+封装+个人化+邮寄</w:t>
            </w:r>
          </w:p>
        </w:tc>
        <w:tc>
          <w:tcPr>
            <w:tcW w:w="1325" w:type="dxa"/>
            <w:tcBorders>
              <w:top w:val="nil"/>
              <w:left w:val="nil"/>
              <w:bottom w:val="single" w:color="000000" w:sz="4" w:space="0"/>
              <w:right w:val="single" w:color="000000" w:sz="4" w:space="0"/>
            </w:tcBorders>
            <w:shd w:val="clear" w:color="auto" w:fill="auto"/>
            <w:vAlign w:val="center"/>
          </w:tcPr>
          <w:p w14:paraId="0EEDCB73">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3443" w:type="dxa"/>
            <w:tcBorders>
              <w:top w:val="nil"/>
              <w:left w:val="nil"/>
              <w:bottom w:val="single" w:color="000000" w:sz="4" w:space="0"/>
              <w:right w:val="single" w:color="000000" w:sz="4" w:space="0"/>
            </w:tcBorders>
            <w:shd w:val="clear" w:color="auto" w:fill="auto"/>
            <w:vAlign w:val="center"/>
          </w:tcPr>
          <w:p w14:paraId="319343A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r>
      <w:tr w14:paraId="3A1AAF70">
        <w:tblPrEx>
          <w:tblCellMar>
            <w:top w:w="0" w:type="dxa"/>
            <w:left w:w="108" w:type="dxa"/>
            <w:bottom w:w="0" w:type="dxa"/>
            <w:right w:w="108" w:type="dxa"/>
          </w:tblCellMar>
        </w:tblPrEx>
        <w:trPr>
          <w:trHeight w:val="540" w:hRule="atLeast"/>
        </w:trPr>
        <w:tc>
          <w:tcPr>
            <w:tcW w:w="1356" w:type="dxa"/>
            <w:tcBorders>
              <w:top w:val="nil"/>
              <w:left w:val="single" w:color="000000" w:sz="4" w:space="0"/>
              <w:bottom w:val="nil"/>
              <w:right w:val="single" w:color="000000" w:sz="4" w:space="0"/>
            </w:tcBorders>
            <w:shd w:val="clear" w:color="auto" w:fill="auto"/>
            <w:vAlign w:val="center"/>
          </w:tcPr>
          <w:p w14:paraId="218D3A9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密码信封</w:t>
            </w:r>
          </w:p>
        </w:tc>
        <w:tc>
          <w:tcPr>
            <w:tcW w:w="2194" w:type="dxa"/>
            <w:tcBorders>
              <w:top w:val="nil"/>
              <w:left w:val="nil"/>
              <w:bottom w:val="single" w:color="000000" w:sz="4" w:space="0"/>
              <w:right w:val="single" w:color="000000" w:sz="4" w:space="0"/>
            </w:tcBorders>
            <w:shd w:val="clear" w:color="auto" w:fill="auto"/>
            <w:vAlign w:val="center"/>
          </w:tcPr>
          <w:p w14:paraId="28E3954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印刷+个人化</w:t>
            </w:r>
          </w:p>
        </w:tc>
        <w:tc>
          <w:tcPr>
            <w:tcW w:w="1325" w:type="dxa"/>
            <w:tcBorders>
              <w:top w:val="nil"/>
              <w:left w:val="nil"/>
              <w:bottom w:val="single" w:color="000000" w:sz="4" w:space="0"/>
              <w:right w:val="single" w:color="000000" w:sz="4" w:space="0"/>
            </w:tcBorders>
            <w:shd w:val="clear" w:color="auto" w:fill="auto"/>
            <w:vAlign w:val="center"/>
          </w:tcPr>
          <w:p w14:paraId="0F0A3B7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1.5</w:t>
            </w:r>
          </w:p>
        </w:tc>
        <w:tc>
          <w:tcPr>
            <w:tcW w:w="3443" w:type="dxa"/>
            <w:tcBorders>
              <w:top w:val="nil"/>
              <w:left w:val="nil"/>
              <w:bottom w:val="nil"/>
              <w:right w:val="single" w:color="000000" w:sz="4" w:space="0"/>
            </w:tcBorders>
            <w:shd w:val="clear" w:color="auto" w:fill="auto"/>
            <w:vAlign w:val="center"/>
          </w:tcPr>
          <w:p w14:paraId="3DC5194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r>
      <w:tr w14:paraId="2F821136">
        <w:tblPrEx>
          <w:tblCellMar>
            <w:top w:w="0" w:type="dxa"/>
            <w:left w:w="108" w:type="dxa"/>
            <w:bottom w:w="0" w:type="dxa"/>
            <w:right w:w="108" w:type="dxa"/>
          </w:tblCellMar>
        </w:tblPrEx>
        <w:trPr>
          <w:trHeight w:val="285" w:hRule="atLeast"/>
        </w:trPr>
        <w:tc>
          <w:tcPr>
            <w:tcW w:w="1356" w:type="dxa"/>
            <w:vMerge w:val="restart"/>
            <w:tcBorders>
              <w:top w:val="single" w:color="000000" w:sz="4" w:space="0"/>
              <w:left w:val="single" w:color="000000" w:sz="4" w:space="0"/>
              <w:bottom w:val="nil"/>
              <w:right w:val="single" w:color="000000" w:sz="4" w:space="0"/>
            </w:tcBorders>
            <w:shd w:val="clear" w:color="auto" w:fill="auto"/>
            <w:vAlign w:val="center"/>
          </w:tcPr>
          <w:p w14:paraId="2AB73E8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特殊工艺卡附加</w:t>
            </w:r>
          </w:p>
        </w:tc>
        <w:tc>
          <w:tcPr>
            <w:tcW w:w="2194" w:type="dxa"/>
            <w:tcBorders>
              <w:top w:val="nil"/>
              <w:left w:val="nil"/>
              <w:bottom w:val="single" w:color="000000" w:sz="4" w:space="0"/>
              <w:right w:val="single" w:color="000000" w:sz="4" w:space="0"/>
            </w:tcBorders>
            <w:shd w:val="clear" w:color="auto" w:fill="auto"/>
            <w:vAlign w:val="center"/>
          </w:tcPr>
          <w:p w14:paraId="5FC85DD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立金</w:t>
            </w:r>
          </w:p>
        </w:tc>
        <w:tc>
          <w:tcPr>
            <w:tcW w:w="1325" w:type="dxa"/>
            <w:tcBorders>
              <w:top w:val="nil"/>
              <w:left w:val="nil"/>
              <w:bottom w:val="single" w:color="000000" w:sz="4" w:space="0"/>
              <w:right w:val="single" w:color="000000" w:sz="4" w:space="0"/>
            </w:tcBorders>
            <w:shd w:val="clear" w:color="auto" w:fill="auto"/>
            <w:vAlign w:val="center"/>
          </w:tcPr>
          <w:p w14:paraId="2B4D19C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3443" w:type="dxa"/>
            <w:vMerge w:val="restart"/>
            <w:tcBorders>
              <w:top w:val="single" w:color="000000" w:sz="4" w:space="0"/>
              <w:left w:val="single" w:color="000000" w:sz="4" w:space="0"/>
              <w:bottom w:val="nil"/>
              <w:right w:val="single" w:color="000000" w:sz="4" w:space="0"/>
            </w:tcBorders>
            <w:shd w:val="clear" w:color="auto" w:fill="auto"/>
            <w:vAlign w:val="center"/>
          </w:tcPr>
          <w:p w14:paraId="3173FBF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特殊工艺卡为根据在原卡基础上每附加一种特殊工艺增加单价</w:t>
            </w:r>
          </w:p>
        </w:tc>
      </w:tr>
      <w:tr w14:paraId="214F6C71">
        <w:tblPrEx>
          <w:tblCellMar>
            <w:top w:w="0" w:type="dxa"/>
            <w:left w:w="108" w:type="dxa"/>
            <w:bottom w:w="0" w:type="dxa"/>
            <w:right w:w="108" w:type="dxa"/>
          </w:tblCellMar>
        </w:tblPrEx>
        <w:trPr>
          <w:trHeight w:val="285" w:hRule="atLeast"/>
        </w:trPr>
        <w:tc>
          <w:tcPr>
            <w:tcW w:w="1356" w:type="dxa"/>
            <w:vMerge w:val="continue"/>
            <w:tcBorders>
              <w:top w:val="single" w:color="000000" w:sz="4" w:space="0"/>
              <w:left w:val="single" w:color="000000" w:sz="4" w:space="0"/>
              <w:bottom w:val="nil"/>
              <w:right w:val="single" w:color="000000" w:sz="4" w:space="0"/>
            </w:tcBorders>
            <w:shd w:val="clear" w:color="auto" w:fill="auto"/>
            <w:vAlign w:val="center"/>
          </w:tcPr>
          <w:p w14:paraId="3F68DB78">
            <w:pPr>
              <w:rPr>
                <w:rFonts w:ascii="宋体" w:hAnsi="宋体" w:eastAsia="宋体" w:cs="宋体"/>
                <w:color w:val="000000"/>
                <w:sz w:val="22"/>
                <w:szCs w:val="22"/>
              </w:rPr>
            </w:pPr>
          </w:p>
        </w:tc>
        <w:tc>
          <w:tcPr>
            <w:tcW w:w="2194" w:type="dxa"/>
            <w:tcBorders>
              <w:top w:val="nil"/>
              <w:left w:val="nil"/>
              <w:bottom w:val="single" w:color="000000" w:sz="4" w:space="0"/>
              <w:right w:val="single" w:color="000000" w:sz="4" w:space="0"/>
            </w:tcBorders>
            <w:shd w:val="clear" w:color="auto" w:fill="auto"/>
            <w:vAlign w:val="center"/>
          </w:tcPr>
          <w:p w14:paraId="4C56B72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烫印</w:t>
            </w:r>
          </w:p>
        </w:tc>
        <w:tc>
          <w:tcPr>
            <w:tcW w:w="1325" w:type="dxa"/>
            <w:tcBorders>
              <w:top w:val="nil"/>
              <w:left w:val="nil"/>
              <w:bottom w:val="single" w:color="000000" w:sz="4" w:space="0"/>
              <w:right w:val="single" w:color="000000" w:sz="4" w:space="0"/>
            </w:tcBorders>
            <w:shd w:val="clear" w:color="auto" w:fill="auto"/>
            <w:vAlign w:val="center"/>
          </w:tcPr>
          <w:p w14:paraId="7E968DD7">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1.5</w:t>
            </w:r>
          </w:p>
        </w:tc>
        <w:tc>
          <w:tcPr>
            <w:tcW w:w="3443" w:type="dxa"/>
            <w:vMerge w:val="continue"/>
            <w:tcBorders>
              <w:top w:val="single" w:color="000000" w:sz="4" w:space="0"/>
              <w:left w:val="single" w:color="000000" w:sz="4" w:space="0"/>
              <w:bottom w:val="nil"/>
              <w:right w:val="single" w:color="000000" w:sz="4" w:space="0"/>
            </w:tcBorders>
            <w:shd w:val="clear" w:color="auto" w:fill="auto"/>
            <w:vAlign w:val="center"/>
          </w:tcPr>
          <w:p w14:paraId="568D032A">
            <w:pPr>
              <w:rPr>
                <w:rFonts w:ascii="宋体" w:hAnsi="宋体" w:eastAsia="宋体" w:cs="宋体"/>
                <w:color w:val="000000"/>
                <w:sz w:val="22"/>
                <w:szCs w:val="22"/>
              </w:rPr>
            </w:pPr>
          </w:p>
        </w:tc>
      </w:tr>
      <w:tr w14:paraId="02F2585A">
        <w:tblPrEx>
          <w:tblCellMar>
            <w:top w:w="0" w:type="dxa"/>
            <w:left w:w="108" w:type="dxa"/>
            <w:bottom w:w="0" w:type="dxa"/>
            <w:right w:w="108" w:type="dxa"/>
          </w:tblCellMar>
        </w:tblPrEx>
        <w:trPr>
          <w:trHeight w:val="540" w:hRule="atLeast"/>
        </w:trPr>
        <w:tc>
          <w:tcPr>
            <w:tcW w:w="1356" w:type="dxa"/>
            <w:vMerge w:val="continue"/>
            <w:tcBorders>
              <w:top w:val="single" w:color="000000" w:sz="4" w:space="0"/>
              <w:left w:val="single" w:color="000000" w:sz="4" w:space="0"/>
              <w:bottom w:val="nil"/>
              <w:right w:val="single" w:color="000000" w:sz="4" w:space="0"/>
            </w:tcBorders>
            <w:shd w:val="clear" w:color="auto" w:fill="auto"/>
            <w:vAlign w:val="center"/>
          </w:tcPr>
          <w:p w14:paraId="205CD481">
            <w:pPr>
              <w:rPr>
                <w:rFonts w:ascii="宋体" w:hAnsi="宋体" w:eastAsia="宋体" w:cs="宋体"/>
                <w:color w:val="000000"/>
                <w:sz w:val="22"/>
                <w:szCs w:val="22"/>
              </w:rPr>
            </w:pPr>
          </w:p>
        </w:tc>
        <w:tc>
          <w:tcPr>
            <w:tcW w:w="2194" w:type="dxa"/>
            <w:tcBorders>
              <w:top w:val="nil"/>
              <w:left w:val="nil"/>
              <w:bottom w:val="single" w:color="000000" w:sz="4" w:space="0"/>
              <w:right w:val="single" w:color="000000" w:sz="4" w:space="0"/>
            </w:tcBorders>
            <w:shd w:val="clear" w:color="auto" w:fill="auto"/>
            <w:vAlign w:val="center"/>
          </w:tcPr>
          <w:p w14:paraId="7F59738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彩色PVC材料</w:t>
            </w:r>
          </w:p>
        </w:tc>
        <w:tc>
          <w:tcPr>
            <w:tcW w:w="1325" w:type="dxa"/>
            <w:tcBorders>
              <w:top w:val="nil"/>
              <w:left w:val="nil"/>
              <w:bottom w:val="single" w:color="000000" w:sz="4" w:space="0"/>
              <w:right w:val="single" w:color="000000" w:sz="4" w:space="0"/>
            </w:tcBorders>
            <w:shd w:val="clear" w:color="auto" w:fill="auto"/>
            <w:vAlign w:val="center"/>
          </w:tcPr>
          <w:p w14:paraId="30E73B2F">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1.5</w:t>
            </w:r>
          </w:p>
        </w:tc>
        <w:tc>
          <w:tcPr>
            <w:tcW w:w="3443" w:type="dxa"/>
            <w:vMerge w:val="continue"/>
            <w:tcBorders>
              <w:top w:val="single" w:color="000000" w:sz="4" w:space="0"/>
              <w:left w:val="single" w:color="000000" w:sz="4" w:space="0"/>
              <w:bottom w:val="nil"/>
              <w:right w:val="single" w:color="000000" w:sz="4" w:space="0"/>
            </w:tcBorders>
            <w:shd w:val="clear" w:color="auto" w:fill="auto"/>
            <w:vAlign w:val="center"/>
          </w:tcPr>
          <w:p w14:paraId="60047EB7">
            <w:pPr>
              <w:rPr>
                <w:rFonts w:ascii="宋体" w:hAnsi="宋体" w:eastAsia="宋体" w:cs="宋体"/>
                <w:color w:val="000000"/>
                <w:sz w:val="22"/>
                <w:szCs w:val="22"/>
              </w:rPr>
            </w:pPr>
          </w:p>
        </w:tc>
      </w:tr>
      <w:tr w14:paraId="6C7D6F64">
        <w:tblPrEx>
          <w:tblCellMar>
            <w:top w:w="0" w:type="dxa"/>
            <w:left w:w="108" w:type="dxa"/>
            <w:bottom w:w="0" w:type="dxa"/>
            <w:right w:w="108" w:type="dxa"/>
          </w:tblCellMar>
        </w:tblPrEx>
        <w:trPr>
          <w:trHeight w:val="330" w:hRule="atLeast"/>
        </w:trPr>
        <w:tc>
          <w:tcPr>
            <w:tcW w:w="83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F28B9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备注：以上借记卡为国密金融IC卡。</w:t>
            </w:r>
          </w:p>
        </w:tc>
      </w:tr>
    </w:tbl>
    <w:p w14:paraId="4066B6FB">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.采购需求：</w:t>
      </w:r>
      <w:r>
        <w:rPr>
          <w:rFonts w:hint="eastAsia" w:ascii="宋体" w:hAnsi="宋体" w:eastAsia="宋体"/>
          <w:sz w:val="24"/>
          <w:szCs w:val="18"/>
          <w:u w:val="single"/>
        </w:rPr>
        <w:t>本项目拟明确金融</w:t>
      </w:r>
      <w:r>
        <w:rPr>
          <w:rFonts w:ascii="宋体" w:hAnsi="宋体" w:eastAsia="宋体"/>
          <w:sz w:val="24"/>
          <w:szCs w:val="18"/>
          <w:u w:val="single"/>
        </w:rPr>
        <w:t>IC借记卡制卡及个人化服务内容与单价，入围供应商提供包括空白卡制卡、同卡号换卡制卡、密码信封制作、个人化服务、开卡包装（卡函和信封等）、卡片封装和邮递、卡片特殊工艺加工等服务，具体内容详见第三章采购需求。</w:t>
      </w:r>
    </w:p>
    <w:p w14:paraId="3F869326">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5</w:t>
      </w:r>
      <w:r>
        <w:rPr>
          <w:rFonts w:hint="eastAsia" w:asciiTheme="minorEastAsia" w:hAnsiTheme="minorEastAsia" w:eastAsiaTheme="minorEastAsia"/>
          <w:sz w:val="24"/>
        </w:rPr>
        <w:t>.合同履行期限：</w:t>
      </w:r>
      <w:r>
        <w:rPr>
          <w:rFonts w:hint="eastAsia" w:ascii="宋体" w:hAnsi="宋体" w:eastAsia="宋体"/>
          <w:sz w:val="24"/>
          <w:szCs w:val="18"/>
          <w:u w:val="single"/>
        </w:rPr>
        <w:t>自合同签订之日起2年，不承诺协议期内一定有采购订单，合同期内如果服务不能达到招标要求和投标承诺的，招标人有权终止协议。</w:t>
      </w:r>
    </w:p>
    <w:p w14:paraId="0C274500">
      <w:pPr>
        <w:spacing w:line="360" w:lineRule="auto"/>
        <w:ind w:firstLine="435"/>
        <w:rPr>
          <w:rFonts w:asciiTheme="minorEastAsia" w:hAnsiTheme="minorEastAsia" w:eastAsiaTheme="minorEastAsia" w:cstheme="minorEastAsia"/>
          <w:sz w:val="24"/>
        </w:rPr>
      </w:pPr>
      <w:r>
        <w:rPr>
          <w:rFonts w:asciiTheme="minorEastAsia" w:hAnsiTheme="minorEastAsia" w:eastAsiaTheme="minorEastAsia"/>
          <w:sz w:val="24"/>
        </w:rPr>
        <w:t>6</w:t>
      </w:r>
      <w:r>
        <w:rPr>
          <w:rFonts w:hint="eastAsia" w:asciiTheme="minorEastAsia" w:hAnsiTheme="minorEastAsia" w:eastAsiaTheme="minorEastAsia"/>
          <w:sz w:val="24"/>
        </w:rPr>
        <w:t>.本项目入围数：</w:t>
      </w:r>
      <w:r>
        <w:rPr>
          <w:rFonts w:hint="eastAsia" w:asciiTheme="minorEastAsia" w:hAnsiTheme="minorEastAsia" w:eastAsiaTheme="minorEastAsia"/>
          <w:sz w:val="24"/>
          <w:u w:val="single"/>
        </w:rPr>
        <w:t>最多入围3家供应商，</w:t>
      </w:r>
      <w:r>
        <w:rPr>
          <w:rFonts w:hint="eastAsia" w:asciiTheme="minorEastAsia" w:hAnsiTheme="minorEastAsia" w:eastAsiaTheme="minorEastAsia"/>
          <w:sz w:val="24"/>
          <w:u w:val="single"/>
          <w:lang w:val="en-US" w:eastAsia="zh-CN"/>
        </w:rPr>
        <w:t>且</w:t>
      </w:r>
      <w:r>
        <w:rPr>
          <w:rFonts w:hint="eastAsia" w:asciiTheme="minorEastAsia" w:hAnsiTheme="minorEastAsia" w:eastAsiaTheme="minorEastAsia"/>
          <w:sz w:val="24"/>
          <w:u w:val="single"/>
        </w:rPr>
        <w:t>至少淘汰1家供应商</w:t>
      </w:r>
      <w:r>
        <w:rPr>
          <w:rFonts w:hint="eastAsia" w:ascii="宋体" w:hAnsi="宋体" w:eastAsia="宋体" w:cs="宋体"/>
          <w:sz w:val="24"/>
          <w:u w:val="single"/>
        </w:rPr>
        <w:t>。</w:t>
      </w:r>
    </w:p>
    <w:p w14:paraId="28C7FC16">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7.本项目（否）接受联合体投标。</w:t>
      </w:r>
    </w:p>
    <w:p w14:paraId="1B1EA552">
      <w:pPr>
        <w:spacing w:line="360" w:lineRule="auto"/>
        <w:ind w:firstLine="437"/>
        <w:outlineLvl w:val="1"/>
        <w:rPr>
          <w:rFonts w:ascii="宋体" w:hAnsi="宋体" w:eastAsia="宋体"/>
          <w:b/>
          <w:bCs/>
          <w:sz w:val="24"/>
          <w:szCs w:val="18"/>
        </w:rPr>
      </w:pPr>
      <w:bookmarkStart w:id="4" w:name="_Toc13530"/>
      <w:bookmarkStart w:id="5" w:name="_Toc26178"/>
      <w:r>
        <w:rPr>
          <w:rFonts w:hint="eastAsia" w:ascii="宋体" w:hAnsi="宋体" w:eastAsia="宋体"/>
          <w:b/>
          <w:bCs/>
          <w:sz w:val="24"/>
          <w:szCs w:val="18"/>
        </w:rPr>
        <w:t>二、</w:t>
      </w:r>
      <w:bookmarkEnd w:id="4"/>
      <w:r>
        <w:rPr>
          <w:rFonts w:hint="eastAsia" w:ascii="宋体" w:hAnsi="宋体" w:eastAsia="宋体"/>
          <w:b/>
          <w:bCs/>
          <w:sz w:val="24"/>
          <w:szCs w:val="18"/>
        </w:rPr>
        <w:t>申请人的资格要求</w:t>
      </w:r>
      <w:bookmarkEnd w:id="5"/>
    </w:p>
    <w:p w14:paraId="2B7841CF">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w:t>
      </w:r>
      <w:r>
        <w:rPr>
          <w:rFonts w:asciiTheme="minorEastAsia" w:hAnsiTheme="minorEastAsia" w:eastAsiaTheme="minorEastAsia"/>
          <w:sz w:val="24"/>
        </w:rPr>
        <w:t>依法在中华人民共和国境内注册成立，具有法人资格且能够独立承担民事责任的企事业单位和社会团体（须提供法人营业执照或事业法人证书或社会团体法人登记证书）；或依法领取营业执照，取得总公司授权的法人分支机构（须提供三项证明材料：1.分支机构营业执照；2.总公司营业执照；3.总公司针对本项目为分公司开具的唯一授权书）。</w:t>
      </w:r>
    </w:p>
    <w:p w14:paraId="3F8162DD">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2．具有健全的财务状况、依法缴纳税收和社会保障资金的记录；</w:t>
      </w:r>
    </w:p>
    <w:p w14:paraId="61BA88C2">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3．近3年内（自2023年1月1日至投标截止日），遵守国家法律法规，经营活动中企业及其法定代表人未被“信用中国”、中国政府采购网、“国家企业信用信息公示系统”网站列入失信被执行人、重大税收违法案件当事人名单、政府采购严重违法失信行为记录名单、严重违法失信名单；未被工、农、中、建、交五大银行总行官网等公开信息列入不良行为供应商且在有效期内；</w:t>
      </w:r>
    </w:p>
    <w:p w14:paraId="4C1D5776">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4．投标人须保证，招标人在其本国使用其提供货物及服务时，不存在任何已知的不合法的情形，也不存在任何已知的与第三方专利权、著作权、商标权或工业设计权相关的任何争议。如果有任何因招标人使用投标人提供的服务而提起的侵权指控，投标人须依法承担全部责任。</w:t>
      </w:r>
    </w:p>
    <w:p w14:paraId="1CB133AB">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5．本项目不接受转包，不接受联合体投标，未经招标人同意不得以任何方式进行分包。</w:t>
      </w:r>
    </w:p>
    <w:p w14:paraId="01B8FFA7">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6．单位负责人为同一人或者存在控股、管理关系的不同单位，不得参加同一标段投标或者未划分标段的同一招标项目投标。</w:t>
      </w:r>
    </w:p>
    <w:p w14:paraId="31345A5F">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7</w:t>
      </w:r>
      <w:r>
        <w:rPr>
          <w:rFonts w:hint="eastAsia" w:asciiTheme="minorEastAsia" w:hAnsiTheme="minorEastAsia" w:eastAsiaTheme="minorEastAsia"/>
          <w:sz w:val="24"/>
        </w:rPr>
        <w:t>.本项目的特定资格要求：</w:t>
      </w:r>
    </w:p>
    <w:p w14:paraId="2D098ADC">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1）持有中国银联颁发的、在有效期内的“银联标识产品企业资质认证证书”，认证范围须至少包含卡基生产、IC卡封装、IC卡个人化及磁条卡个人化；</w:t>
      </w:r>
    </w:p>
    <w:p w14:paraId="6220D9FC">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2）持有国家集成电路（IC）卡注册中心颁发的、在有效期内的《集成电路卡注册证书》</w:t>
      </w:r>
      <w:r>
        <w:rPr>
          <w:rFonts w:hint="eastAsia" w:asciiTheme="minorEastAsia" w:hAnsiTheme="minorEastAsia" w:eastAsiaTheme="minorEastAsia"/>
          <w:sz w:val="24"/>
        </w:rPr>
        <w:t>。</w:t>
      </w:r>
    </w:p>
    <w:p w14:paraId="407BCAE7">
      <w:pPr>
        <w:spacing w:line="360" w:lineRule="auto"/>
        <w:ind w:firstLine="437"/>
        <w:outlineLvl w:val="1"/>
        <w:rPr>
          <w:rFonts w:ascii="宋体" w:hAnsi="宋体" w:eastAsia="宋体"/>
          <w:b/>
          <w:bCs/>
          <w:sz w:val="24"/>
          <w:szCs w:val="18"/>
        </w:rPr>
      </w:pPr>
      <w:bookmarkStart w:id="6" w:name="_Toc30110"/>
      <w:bookmarkStart w:id="7" w:name="_Toc32089"/>
      <w:r>
        <w:rPr>
          <w:rFonts w:hint="eastAsia" w:ascii="宋体" w:hAnsi="宋体" w:eastAsia="宋体"/>
          <w:b/>
          <w:bCs/>
          <w:sz w:val="24"/>
          <w:szCs w:val="18"/>
        </w:rPr>
        <w:t>三、</w:t>
      </w:r>
      <w:bookmarkEnd w:id="6"/>
      <w:r>
        <w:rPr>
          <w:rFonts w:hint="eastAsia" w:ascii="宋体" w:hAnsi="宋体" w:eastAsia="宋体"/>
          <w:b/>
          <w:bCs/>
          <w:sz w:val="24"/>
          <w:szCs w:val="18"/>
        </w:rPr>
        <w:t>获取招标文件</w:t>
      </w:r>
      <w:bookmarkEnd w:id="7"/>
    </w:p>
    <w:p w14:paraId="0AD9A0AD">
      <w:pPr>
        <w:spacing w:line="360" w:lineRule="auto"/>
        <w:ind w:firstLine="540"/>
        <w:rPr>
          <w:rFonts w:asciiTheme="minorEastAsia" w:hAnsiTheme="minorEastAsia" w:eastAsiaTheme="minorEastAsia" w:cstheme="minorEastAsia"/>
          <w:sz w:val="24"/>
          <w:szCs w:val="24"/>
          <w:u w:val="single"/>
        </w:rPr>
      </w:pPr>
      <w:bookmarkStart w:id="8" w:name="_Toc7957"/>
      <w:r>
        <w:rPr>
          <w:rFonts w:hint="eastAsia" w:asciiTheme="minorEastAsia" w:hAnsiTheme="minorEastAsia" w:eastAsiaTheme="minorEastAsia" w:cstheme="minorEastAsia"/>
          <w:sz w:val="24"/>
          <w:szCs w:val="24"/>
        </w:rPr>
        <w:t>时间：</w:t>
      </w:r>
      <w:r>
        <w:rPr>
          <w:rFonts w:hint="eastAsia" w:asciiTheme="minorEastAsia" w:hAnsiTheme="minorEastAsia" w:eastAsiaTheme="minorEastAsia" w:cstheme="minorEastAsia"/>
          <w:sz w:val="24"/>
          <w:szCs w:val="24"/>
          <w:u w:val="single"/>
        </w:rPr>
        <w:t>2026年6月10日至2026年6月22日，每天上午8:30至11:30，下午13:30至17:00（北京时间，法定节假日除外）</w:t>
      </w:r>
    </w:p>
    <w:p w14:paraId="3FE1D61E">
      <w:pPr>
        <w:spacing w:line="360" w:lineRule="auto"/>
        <w:ind w:firstLine="54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single"/>
        </w:rPr>
        <w:t>方式：投标单位应把营业执照电子版、供应商信息表等（详见公告附件）提交给采购人（电子邮件发送至邮箱：</w:t>
      </w:r>
      <w:r>
        <w:rPr>
          <w:rFonts w:asciiTheme="minorEastAsia" w:hAnsiTheme="minorEastAsia" w:eastAsiaTheme="minorEastAsia" w:cstheme="minorEastAsia"/>
          <w:sz w:val="24"/>
          <w:szCs w:val="24"/>
          <w:u w:val="single"/>
        </w:rPr>
        <w:t>zh_cggzxz@ncbank.cn并电话确认0574-87205778）获取采购文件。</w:t>
      </w:r>
    </w:p>
    <w:p w14:paraId="55E018AF">
      <w:pPr>
        <w:spacing w:line="360" w:lineRule="auto"/>
        <w:ind w:firstLine="437"/>
        <w:outlineLvl w:val="1"/>
        <w:rPr>
          <w:rFonts w:ascii="宋体" w:hAnsi="宋体" w:eastAsia="宋体"/>
          <w:b/>
          <w:bCs/>
          <w:sz w:val="24"/>
          <w:szCs w:val="18"/>
        </w:rPr>
      </w:pPr>
      <w:bookmarkStart w:id="9" w:name="_Toc19726"/>
      <w:r>
        <w:rPr>
          <w:rFonts w:hint="eastAsia" w:ascii="宋体" w:hAnsi="宋体" w:eastAsia="宋体"/>
          <w:b/>
          <w:bCs/>
          <w:sz w:val="24"/>
          <w:szCs w:val="18"/>
        </w:rPr>
        <w:t>四、</w:t>
      </w:r>
      <w:bookmarkEnd w:id="8"/>
      <w:r>
        <w:rPr>
          <w:rFonts w:hint="eastAsia" w:ascii="宋体" w:hAnsi="宋体" w:eastAsia="宋体"/>
          <w:b/>
          <w:bCs/>
          <w:sz w:val="24"/>
          <w:szCs w:val="18"/>
        </w:rPr>
        <w:t>提交投标文件截止时间、开标时间和地点</w:t>
      </w:r>
      <w:bookmarkEnd w:id="9"/>
    </w:p>
    <w:p w14:paraId="111FDEF9">
      <w:pPr>
        <w:spacing w:line="360" w:lineRule="auto"/>
        <w:ind w:firstLine="480" w:firstLineChars="200"/>
        <w:rPr>
          <w:rFonts w:asciiTheme="minorEastAsia" w:hAnsiTheme="minorEastAsia" w:eastAsiaTheme="minorEastAsia" w:cstheme="minorEastAsia"/>
          <w:bCs/>
          <w:sz w:val="24"/>
          <w:szCs w:val="24"/>
        </w:rPr>
      </w:pPr>
      <w:bookmarkStart w:id="10" w:name="_Toc5082"/>
      <w:r>
        <w:rPr>
          <w:rFonts w:hint="eastAsia" w:asciiTheme="minorEastAsia" w:hAnsiTheme="minorEastAsia" w:eastAsiaTheme="minorEastAsia" w:cstheme="minorEastAsia"/>
          <w:bCs/>
          <w:sz w:val="24"/>
          <w:szCs w:val="24"/>
          <w:u w:val="single"/>
        </w:rPr>
        <w:t xml:space="preserve"> </w:t>
      </w:r>
      <w:r>
        <w:rPr>
          <w:rFonts w:asciiTheme="minorEastAsia" w:hAnsiTheme="minorEastAsia" w:eastAsiaTheme="minorEastAsia" w:cstheme="minorEastAsia"/>
          <w:bCs/>
          <w:sz w:val="24"/>
          <w:szCs w:val="24"/>
          <w:u w:val="single"/>
        </w:rPr>
        <w:t>2026</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rPr>
        <w:t>年</w:t>
      </w:r>
      <w:r>
        <w:rPr>
          <w:rFonts w:hint="eastAsia" w:asciiTheme="minorEastAsia" w:hAnsiTheme="minorEastAsia" w:eastAsiaTheme="minorEastAsia" w:cstheme="minorEastAsia"/>
          <w:bCs/>
          <w:sz w:val="24"/>
          <w:szCs w:val="24"/>
          <w:u w:val="single"/>
        </w:rPr>
        <w:t xml:space="preserve"> </w:t>
      </w:r>
      <w:r>
        <w:rPr>
          <w:rFonts w:asciiTheme="minorEastAsia" w:hAnsiTheme="minorEastAsia" w:eastAsiaTheme="minorEastAsia" w:cstheme="minorEastAsia"/>
          <w:bCs/>
          <w:sz w:val="24"/>
          <w:szCs w:val="24"/>
          <w:u w:val="single"/>
        </w:rPr>
        <w:t>6</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rPr>
        <w:t>月</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single"/>
          <w:lang w:val="en-US" w:eastAsia="zh-CN"/>
        </w:rPr>
        <w:t>30</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rPr>
        <w:t>日</w:t>
      </w:r>
      <w:r>
        <w:rPr>
          <w:rFonts w:hint="eastAsia" w:asciiTheme="minorEastAsia" w:hAnsiTheme="minorEastAsia" w:eastAsiaTheme="minorEastAsia" w:cstheme="minorEastAsia"/>
          <w:bCs/>
          <w:sz w:val="24"/>
          <w:szCs w:val="24"/>
          <w:u w:val="single"/>
        </w:rPr>
        <w:t xml:space="preserve"> </w:t>
      </w:r>
      <w:r>
        <w:rPr>
          <w:rFonts w:asciiTheme="minorEastAsia" w:hAnsiTheme="minorEastAsia" w:eastAsiaTheme="minorEastAsia" w:cstheme="minorEastAsia"/>
          <w:bCs/>
          <w:sz w:val="24"/>
          <w:szCs w:val="24"/>
          <w:u w:val="single"/>
        </w:rPr>
        <w:t>15</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rPr>
        <w:t>点</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single"/>
          <w:lang w:val="en-US" w:eastAsia="zh-CN"/>
        </w:rPr>
        <w:t>3</w:t>
      </w:r>
      <w:bookmarkStart w:id="75" w:name="_GoBack"/>
      <w:bookmarkEnd w:id="75"/>
      <w:r>
        <w:rPr>
          <w:rFonts w:asciiTheme="minorEastAsia" w:hAnsiTheme="minorEastAsia" w:eastAsiaTheme="minorEastAsia" w:cstheme="minorEastAsia"/>
          <w:bCs/>
          <w:sz w:val="24"/>
          <w:szCs w:val="24"/>
          <w:u w:val="single"/>
        </w:rPr>
        <w:t>0</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rPr>
        <w:t>分（北京时间）</w:t>
      </w:r>
    </w:p>
    <w:p w14:paraId="0EB9B16E">
      <w:pPr>
        <w:spacing w:line="360" w:lineRule="auto"/>
        <w:ind w:firstLine="480" w:firstLineChars="200"/>
        <w:rPr>
          <w:rFonts w:asciiTheme="minorEastAsia" w:hAnsiTheme="minorEastAsia" w:eastAsiaTheme="minorEastAsia" w:cstheme="minorEastAsia"/>
          <w:bCs/>
          <w:sz w:val="24"/>
          <w:szCs w:val="24"/>
          <w:u w:val="single"/>
        </w:rPr>
      </w:pPr>
      <w:r>
        <w:rPr>
          <w:rFonts w:hint="eastAsia" w:asciiTheme="minorEastAsia" w:hAnsiTheme="minorEastAsia" w:eastAsiaTheme="minorEastAsia" w:cstheme="minorEastAsia"/>
          <w:sz w:val="24"/>
          <w:szCs w:val="24"/>
        </w:rPr>
        <w:t>地点：</w:t>
      </w:r>
      <w:r>
        <w:rPr>
          <w:rFonts w:hint="eastAsia" w:ascii="宋体" w:hAnsi="宋体" w:eastAsia="宋体"/>
          <w:sz w:val="24"/>
          <w:szCs w:val="18"/>
          <w:u w:val="single"/>
        </w:rPr>
        <w:t xml:space="preserve"> 宁波市</w:t>
      </w:r>
      <w:r>
        <w:rPr>
          <w:rFonts w:ascii="宋体" w:hAnsi="宋体" w:eastAsia="宋体"/>
          <w:sz w:val="24"/>
          <w:szCs w:val="18"/>
          <w:u w:val="single"/>
        </w:rPr>
        <w:t>鄞州区民安东路</w:t>
      </w:r>
      <w:r>
        <w:rPr>
          <w:rFonts w:hint="eastAsia" w:ascii="宋体" w:hAnsi="宋体" w:eastAsia="宋体"/>
          <w:sz w:val="24"/>
          <w:szCs w:val="18"/>
          <w:u w:val="single"/>
        </w:rPr>
        <w:t>337号</w:t>
      </w:r>
      <w:r>
        <w:rPr>
          <w:rFonts w:ascii="宋体" w:hAnsi="宋体" w:eastAsia="宋体"/>
          <w:sz w:val="24"/>
          <w:szCs w:val="18"/>
          <w:u w:val="single"/>
        </w:rPr>
        <w:t>宁波通商银行总行</w:t>
      </w:r>
      <w:r>
        <w:rPr>
          <w:rFonts w:hint="eastAsia" w:ascii="宋体" w:hAnsi="宋体" w:eastAsia="宋体"/>
          <w:sz w:val="24"/>
          <w:szCs w:val="18"/>
          <w:u w:val="single"/>
        </w:rPr>
        <w:t>大楼10楼</w:t>
      </w:r>
      <w:r>
        <w:rPr>
          <w:rFonts w:ascii="宋体" w:hAnsi="宋体" w:eastAsia="宋体"/>
          <w:sz w:val="24"/>
          <w:szCs w:val="18"/>
          <w:u w:val="single"/>
        </w:rPr>
        <w:t xml:space="preserve">会议室 </w:t>
      </w:r>
    </w:p>
    <w:p w14:paraId="04D87A91">
      <w:pPr>
        <w:spacing w:line="360" w:lineRule="auto"/>
        <w:ind w:firstLine="437"/>
        <w:outlineLvl w:val="1"/>
        <w:rPr>
          <w:rFonts w:ascii="宋体" w:hAnsi="宋体" w:eastAsia="宋体"/>
          <w:b/>
          <w:bCs/>
          <w:sz w:val="24"/>
          <w:szCs w:val="18"/>
        </w:rPr>
      </w:pPr>
      <w:bookmarkStart w:id="11" w:name="_Toc28531"/>
      <w:r>
        <w:rPr>
          <w:rFonts w:hint="eastAsia" w:ascii="宋体" w:hAnsi="宋体" w:eastAsia="宋体"/>
          <w:b/>
          <w:bCs/>
          <w:sz w:val="24"/>
          <w:szCs w:val="18"/>
        </w:rPr>
        <w:t>五、</w:t>
      </w:r>
      <w:bookmarkEnd w:id="10"/>
      <w:r>
        <w:rPr>
          <w:rFonts w:hint="eastAsia" w:ascii="宋体" w:hAnsi="宋体" w:eastAsia="宋体"/>
          <w:b/>
          <w:bCs/>
          <w:sz w:val="24"/>
          <w:szCs w:val="18"/>
        </w:rPr>
        <w:t>公告期限</w:t>
      </w:r>
      <w:bookmarkEnd w:id="11"/>
    </w:p>
    <w:p w14:paraId="7FE2C997">
      <w:pPr>
        <w:spacing w:line="360" w:lineRule="auto"/>
        <w:ind w:firstLine="437"/>
        <w:rPr>
          <w:rFonts w:ascii="宋体" w:hAnsi="宋体" w:eastAsia="宋体"/>
          <w:sz w:val="24"/>
          <w:szCs w:val="18"/>
        </w:rPr>
      </w:pPr>
      <w:bookmarkStart w:id="12" w:name="_Toc1215"/>
      <w:r>
        <w:rPr>
          <w:rFonts w:hint="eastAsia" w:ascii="宋体" w:hAnsi="宋体" w:eastAsia="宋体"/>
          <w:sz w:val="24"/>
          <w:szCs w:val="18"/>
        </w:rPr>
        <w:t>自本公告发布之日起5个工作日。</w:t>
      </w:r>
    </w:p>
    <w:p w14:paraId="3A5C998C">
      <w:pPr>
        <w:spacing w:line="360" w:lineRule="auto"/>
        <w:ind w:firstLine="437"/>
        <w:outlineLvl w:val="1"/>
        <w:rPr>
          <w:rFonts w:ascii="宋体" w:hAnsi="宋体" w:eastAsia="宋体"/>
          <w:b/>
          <w:bCs/>
          <w:sz w:val="24"/>
          <w:szCs w:val="18"/>
        </w:rPr>
      </w:pPr>
      <w:bookmarkStart w:id="13" w:name="_Toc8807"/>
      <w:bookmarkStart w:id="14" w:name="_Toc35393626"/>
      <w:bookmarkStart w:id="15" w:name="_Toc35393795"/>
      <w:r>
        <w:rPr>
          <w:rFonts w:hint="eastAsia" w:ascii="宋体" w:hAnsi="宋体" w:eastAsia="宋体"/>
          <w:b/>
          <w:bCs/>
          <w:sz w:val="24"/>
          <w:szCs w:val="18"/>
        </w:rPr>
        <w:t>六、</w:t>
      </w:r>
      <w:bookmarkEnd w:id="12"/>
      <w:bookmarkEnd w:id="13"/>
      <w:bookmarkEnd w:id="14"/>
      <w:bookmarkEnd w:id="15"/>
      <w:bookmarkStart w:id="16" w:name="_Toc3854"/>
      <w:r>
        <w:rPr>
          <w:rFonts w:hint="eastAsia" w:ascii="宋体" w:hAnsi="宋体" w:eastAsia="宋体"/>
          <w:b/>
          <w:bCs/>
          <w:sz w:val="24"/>
          <w:szCs w:val="18"/>
        </w:rPr>
        <w:t>对本次招标提出询问，请按以下方式联系</w:t>
      </w:r>
      <w:bookmarkEnd w:id="16"/>
    </w:p>
    <w:p w14:paraId="0D7B54B9">
      <w:pPr>
        <w:spacing w:line="360" w:lineRule="auto"/>
        <w:ind w:firstLine="437"/>
        <w:outlineLvl w:val="2"/>
        <w:rPr>
          <w:rFonts w:ascii="宋体" w:hAnsi="宋体" w:eastAsia="宋体"/>
          <w:sz w:val="24"/>
          <w:szCs w:val="18"/>
        </w:rPr>
      </w:pPr>
      <w:r>
        <w:rPr>
          <w:rFonts w:hint="eastAsia" w:ascii="宋体" w:hAnsi="宋体" w:eastAsia="宋体"/>
          <w:sz w:val="24"/>
          <w:szCs w:val="18"/>
        </w:rPr>
        <w:t>1.采购人信息</w:t>
      </w:r>
    </w:p>
    <w:p w14:paraId="4F6DEDE9">
      <w:pPr>
        <w:spacing w:line="360" w:lineRule="auto"/>
        <w:ind w:firstLine="435"/>
        <w:rPr>
          <w:rFonts w:ascii="宋体" w:hAnsi="宋体" w:eastAsia="宋体"/>
          <w:sz w:val="24"/>
          <w:szCs w:val="18"/>
        </w:rPr>
      </w:pPr>
      <w:r>
        <w:rPr>
          <w:rFonts w:hint="eastAsia" w:ascii="宋体" w:hAnsi="宋体" w:eastAsia="宋体" w:cs="宋体"/>
          <w:sz w:val="24"/>
          <w:szCs w:val="24"/>
        </w:rPr>
        <w:t>名  称</w:t>
      </w:r>
      <w:r>
        <w:rPr>
          <w:rFonts w:hint="eastAsia" w:ascii="宋体" w:hAnsi="宋体" w:eastAsia="宋体"/>
          <w:sz w:val="24"/>
          <w:szCs w:val="18"/>
        </w:rPr>
        <w:t>：</w:t>
      </w:r>
      <w:r>
        <w:rPr>
          <w:rFonts w:hint="eastAsia" w:ascii="宋体" w:hAnsi="宋体" w:eastAsia="宋体"/>
          <w:sz w:val="24"/>
          <w:szCs w:val="18"/>
          <w:u w:val="single"/>
        </w:rPr>
        <w:t xml:space="preserve"> 宁波通商</w:t>
      </w:r>
      <w:r>
        <w:rPr>
          <w:rFonts w:ascii="宋体" w:hAnsi="宋体" w:eastAsia="宋体"/>
          <w:sz w:val="24"/>
          <w:szCs w:val="18"/>
          <w:u w:val="single"/>
        </w:rPr>
        <w:t>银行股份有限公司</w:t>
      </w:r>
    </w:p>
    <w:p w14:paraId="474CE008">
      <w:pPr>
        <w:spacing w:line="360" w:lineRule="auto"/>
        <w:ind w:firstLine="435"/>
        <w:rPr>
          <w:rFonts w:ascii="宋体" w:hAnsi="宋体" w:eastAsia="宋体"/>
          <w:sz w:val="24"/>
          <w:szCs w:val="18"/>
          <w:u w:val="single"/>
        </w:rPr>
      </w:pPr>
      <w:r>
        <w:rPr>
          <w:rFonts w:hint="eastAsia" w:ascii="宋体" w:hAnsi="宋体" w:eastAsia="宋体"/>
          <w:sz w:val="24"/>
          <w:szCs w:val="18"/>
        </w:rPr>
        <w:t xml:space="preserve">地 </w:t>
      </w:r>
      <w:r>
        <w:rPr>
          <w:rFonts w:ascii="宋体" w:hAnsi="宋体" w:eastAsia="宋体"/>
          <w:sz w:val="24"/>
          <w:szCs w:val="18"/>
        </w:rPr>
        <w:t xml:space="preserve"> </w:t>
      </w:r>
      <w:r>
        <w:rPr>
          <w:rFonts w:hint="eastAsia" w:ascii="宋体" w:hAnsi="宋体" w:eastAsia="宋体"/>
          <w:sz w:val="24"/>
          <w:szCs w:val="18"/>
        </w:rPr>
        <w:t>址：</w:t>
      </w:r>
      <w:r>
        <w:rPr>
          <w:rFonts w:hint="eastAsia" w:ascii="宋体" w:hAnsi="宋体" w:eastAsia="宋体"/>
          <w:sz w:val="24"/>
          <w:szCs w:val="18"/>
          <w:u w:val="single"/>
        </w:rPr>
        <w:t xml:space="preserve"> 宁波市</w:t>
      </w:r>
      <w:r>
        <w:rPr>
          <w:rFonts w:ascii="宋体" w:hAnsi="宋体" w:eastAsia="宋体"/>
          <w:sz w:val="24"/>
          <w:szCs w:val="18"/>
          <w:u w:val="single"/>
        </w:rPr>
        <w:t>鄞州区民安东路</w:t>
      </w:r>
      <w:r>
        <w:rPr>
          <w:rFonts w:hint="eastAsia" w:ascii="宋体" w:hAnsi="宋体" w:eastAsia="宋体"/>
          <w:sz w:val="24"/>
          <w:szCs w:val="18"/>
          <w:u w:val="single"/>
        </w:rPr>
        <w:t>337号</w:t>
      </w:r>
    </w:p>
    <w:p w14:paraId="6B3B6B52">
      <w:pPr>
        <w:spacing w:line="360" w:lineRule="auto"/>
        <w:ind w:firstLine="435"/>
        <w:rPr>
          <w:rFonts w:ascii="宋体" w:hAnsi="宋体" w:eastAsia="宋体"/>
          <w:sz w:val="24"/>
          <w:szCs w:val="18"/>
        </w:rPr>
      </w:pPr>
      <w:r>
        <w:rPr>
          <w:rFonts w:hint="eastAsia" w:ascii="宋体" w:hAnsi="宋体" w:eastAsia="宋体"/>
          <w:sz w:val="24"/>
          <w:szCs w:val="18"/>
        </w:rPr>
        <w:t>联系人：</w:t>
      </w:r>
      <w:r>
        <w:rPr>
          <w:rFonts w:hint="eastAsia" w:ascii="宋体" w:hAnsi="宋体" w:eastAsia="宋体"/>
          <w:sz w:val="24"/>
          <w:szCs w:val="18"/>
          <w:u w:val="single"/>
        </w:rPr>
        <w:t xml:space="preserve"> 康老师</w:t>
      </w:r>
    </w:p>
    <w:p w14:paraId="61910F84">
      <w:pPr>
        <w:spacing w:line="360" w:lineRule="auto"/>
        <w:ind w:firstLine="435"/>
        <w:rPr>
          <w:rFonts w:ascii="宋体" w:hAnsi="宋体" w:eastAsia="宋体"/>
          <w:sz w:val="24"/>
          <w:szCs w:val="18"/>
          <w:u w:val="single"/>
        </w:rPr>
      </w:pPr>
      <w:r>
        <w:rPr>
          <w:rFonts w:hint="eastAsia" w:ascii="宋体" w:hAnsi="宋体" w:eastAsia="宋体"/>
          <w:sz w:val="24"/>
          <w:szCs w:val="18"/>
        </w:rPr>
        <w:t>联系方式：</w:t>
      </w:r>
      <w:r>
        <w:rPr>
          <w:rFonts w:hint="eastAsia" w:ascii="宋体" w:hAnsi="宋体" w:eastAsia="宋体"/>
          <w:sz w:val="24"/>
          <w:szCs w:val="18"/>
          <w:u w:val="single"/>
        </w:rPr>
        <w:t xml:space="preserve"> </w:t>
      </w:r>
      <w:r>
        <w:rPr>
          <w:rFonts w:ascii="宋体" w:hAnsi="宋体" w:eastAsia="宋体"/>
          <w:sz w:val="24"/>
          <w:szCs w:val="18"/>
          <w:u w:val="single"/>
        </w:rPr>
        <w:t>0574-87205778</w:t>
      </w:r>
    </w:p>
    <w:p w14:paraId="150D15FE">
      <w:pPr>
        <w:pStyle w:val="2"/>
      </w:pPr>
      <w:r>
        <w:br w:type="page"/>
      </w:r>
    </w:p>
    <w:p w14:paraId="32117F5A">
      <w:pPr>
        <w:spacing w:line="360" w:lineRule="auto"/>
        <w:jc w:val="center"/>
        <w:outlineLvl w:val="0"/>
        <w:rPr>
          <w:rFonts w:asciiTheme="minorEastAsia" w:hAnsiTheme="minorEastAsia" w:eastAsiaTheme="minorEastAsia"/>
          <w:b/>
          <w:sz w:val="28"/>
        </w:rPr>
      </w:pPr>
      <w:bookmarkStart w:id="17" w:name="_Toc31935"/>
      <w:r>
        <w:rPr>
          <w:rFonts w:hint="eastAsia" w:asciiTheme="minorEastAsia" w:hAnsiTheme="minorEastAsia" w:eastAsiaTheme="minorEastAsia"/>
          <w:b/>
          <w:sz w:val="28"/>
        </w:rPr>
        <w:t>第二章</w:t>
      </w:r>
      <w:r>
        <w:rPr>
          <w:rFonts w:asciiTheme="minorEastAsia" w:hAnsiTheme="minorEastAsia" w:eastAsiaTheme="minorEastAsia"/>
          <w:b/>
          <w:sz w:val="28"/>
        </w:rPr>
        <w:t xml:space="preserve"> </w:t>
      </w:r>
      <w:r>
        <w:rPr>
          <w:rFonts w:hint="eastAsia" w:asciiTheme="minorEastAsia" w:hAnsiTheme="minorEastAsia" w:eastAsiaTheme="minorEastAsia"/>
          <w:b/>
          <w:sz w:val="28"/>
        </w:rPr>
        <w:t xml:space="preserve"> </w:t>
      </w:r>
      <w:r>
        <w:rPr>
          <w:rFonts w:asciiTheme="minorEastAsia" w:hAnsiTheme="minorEastAsia" w:eastAsiaTheme="minorEastAsia"/>
          <w:b/>
          <w:sz w:val="28"/>
        </w:rPr>
        <w:t>投标人须知</w:t>
      </w:r>
      <w:bookmarkEnd w:id="17"/>
    </w:p>
    <w:p w14:paraId="644F5D82">
      <w:pPr>
        <w:spacing w:line="360" w:lineRule="auto"/>
        <w:jc w:val="center"/>
        <w:outlineLvl w:val="1"/>
        <w:rPr>
          <w:rFonts w:asciiTheme="minorEastAsia" w:hAnsiTheme="minorEastAsia" w:eastAsiaTheme="minorEastAsia"/>
          <w:b/>
          <w:sz w:val="24"/>
        </w:rPr>
      </w:pPr>
      <w:bookmarkStart w:id="18" w:name="_Toc7178"/>
      <w:bookmarkStart w:id="19" w:name="_Toc3114"/>
      <w:r>
        <w:rPr>
          <w:rFonts w:hint="eastAsia" w:asciiTheme="minorEastAsia" w:hAnsiTheme="minorEastAsia" w:eastAsiaTheme="minorEastAsia"/>
          <w:b/>
          <w:sz w:val="24"/>
        </w:rPr>
        <w:t>一、</w:t>
      </w:r>
      <w:r>
        <w:rPr>
          <w:rFonts w:asciiTheme="minorEastAsia" w:hAnsiTheme="minorEastAsia" w:eastAsiaTheme="minorEastAsia"/>
          <w:b/>
          <w:sz w:val="24"/>
        </w:rPr>
        <w:t>投标人须知前附表</w:t>
      </w:r>
      <w:bookmarkEnd w:id="18"/>
      <w:bookmarkEnd w:id="19"/>
    </w:p>
    <w:p w14:paraId="53C33ECF">
      <w:pPr>
        <w:spacing w:line="360" w:lineRule="auto"/>
        <w:ind w:firstLine="435"/>
        <w:rPr>
          <w:rFonts w:ascii="宋体" w:hAnsi="宋体" w:eastAsia="宋体"/>
          <w:sz w:val="24"/>
          <w:szCs w:val="18"/>
        </w:rPr>
      </w:pPr>
      <w:r>
        <w:rPr>
          <w:rFonts w:hint="eastAsia" w:ascii="宋体" w:hAnsi="宋体" w:eastAsia="宋体"/>
          <w:b/>
          <w:bCs/>
          <w:sz w:val="24"/>
          <w:szCs w:val="18"/>
        </w:rPr>
        <w:t>注：</w:t>
      </w:r>
      <w:r>
        <w:rPr>
          <w:rFonts w:hint="eastAsia" w:ascii="宋体" w:hAnsi="宋体" w:eastAsia="宋体"/>
          <w:sz w:val="24"/>
          <w:szCs w:val="18"/>
        </w:rPr>
        <w:t>本表是本项目的具体要求，是对投标人须知的具体补充和修改，如有不一致，以本表为准。</w:t>
      </w:r>
    </w:p>
    <w:tbl>
      <w:tblPr>
        <w:tblStyle w:val="22"/>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36E85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44D6B56">
            <w:pPr>
              <w:pStyle w:val="30"/>
              <w:widowControl w:val="0"/>
              <w:spacing w:before="0" w:beforeAutospacing="0" w:after="0" w:afterAutospacing="0"/>
              <w:rPr>
                <w:rFonts w:ascii="宋体" w:hAnsi="宋体" w:eastAsia="宋体"/>
                <w:bCs w:val="0"/>
                <w:kern w:val="2"/>
                <w:sz w:val="24"/>
                <w:szCs w:val="20"/>
              </w:rPr>
            </w:pPr>
            <w:r>
              <w:rPr>
                <w:rFonts w:hint="eastAsia" w:ascii="宋体" w:hAnsi="宋体" w:eastAsia="宋体"/>
                <w:bCs w:val="0"/>
                <w:kern w:val="2"/>
                <w:sz w:val="24"/>
                <w:szCs w:val="20"/>
              </w:rPr>
              <w:t>条款号</w:t>
            </w:r>
          </w:p>
        </w:tc>
        <w:tc>
          <w:tcPr>
            <w:tcW w:w="1174" w:type="pct"/>
            <w:vAlign w:val="center"/>
          </w:tcPr>
          <w:p w14:paraId="291B7771">
            <w:pPr>
              <w:pStyle w:val="30"/>
              <w:widowControl w:val="0"/>
              <w:spacing w:before="0" w:beforeAutospacing="0" w:after="0" w:afterAutospacing="0"/>
              <w:rPr>
                <w:rFonts w:ascii="宋体" w:hAnsi="宋体" w:eastAsia="宋体"/>
                <w:bCs w:val="0"/>
                <w:kern w:val="2"/>
                <w:sz w:val="24"/>
                <w:szCs w:val="20"/>
              </w:rPr>
            </w:pPr>
            <w:r>
              <w:rPr>
                <w:rFonts w:hint="eastAsia" w:ascii="宋体" w:hAnsi="宋体" w:eastAsia="宋体"/>
                <w:bCs w:val="0"/>
                <w:kern w:val="2"/>
                <w:sz w:val="24"/>
                <w:szCs w:val="20"/>
              </w:rPr>
              <w:t>条款名称</w:t>
            </w:r>
          </w:p>
        </w:tc>
        <w:tc>
          <w:tcPr>
            <w:tcW w:w="3245" w:type="pct"/>
            <w:vAlign w:val="center"/>
          </w:tcPr>
          <w:p w14:paraId="1DC2028B">
            <w:pPr>
              <w:pStyle w:val="30"/>
              <w:widowControl w:val="0"/>
              <w:spacing w:before="0" w:beforeAutospacing="0" w:after="0" w:afterAutospacing="0"/>
              <w:rPr>
                <w:rFonts w:ascii="宋体" w:hAnsi="宋体" w:eastAsia="宋体"/>
                <w:bCs w:val="0"/>
                <w:kern w:val="2"/>
                <w:sz w:val="24"/>
                <w:szCs w:val="20"/>
              </w:rPr>
            </w:pPr>
            <w:r>
              <w:rPr>
                <w:rFonts w:hint="eastAsia" w:ascii="宋体" w:hAnsi="宋体" w:eastAsia="宋体"/>
                <w:bCs w:val="0"/>
                <w:kern w:val="2"/>
                <w:sz w:val="24"/>
                <w:szCs w:val="20"/>
              </w:rPr>
              <w:t>内容、说明与要求</w:t>
            </w:r>
          </w:p>
        </w:tc>
      </w:tr>
      <w:tr w14:paraId="569C4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A317CDC">
            <w:pPr>
              <w:pStyle w:val="30"/>
              <w:widowControl w:val="0"/>
              <w:spacing w:before="0" w:beforeAutospacing="0" w:after="0" w:afterAutospacing="0" w:line="360" w:lineRule="auto"/>
              <w:rPr>
                <w:rFonts w:ascii="宋体" w:hAnsi="宋体" w:eastAsia="宋体"/>
                <w:b w:val="0"/>
                <w:kern w:val="2"/>
                <w:sz w:val="24"/>
                <w:szCs w:val="22"/>
              </w:rPr>
            </w:pPr>
            <w:r>
              <w:rPr>
                <w:rFonts w:hint="eastAsia" w:ascii="宋体" w:hAnsi="宋体" w:eastAsia="宋体"/>
                <w:b w:val="0"/>
                <w:kern w:val="2"/>
                <w:sz w:val="24"/>
                <w:szCs w:val="22"/>
              </w:rPr>
              <w:t>1.1</w:t>
            </w:r>
          </w:p>
        </w:tc>
        <w:tc>
          <w:tcPr>
            <w:tcW w:w="1174" w:type="pct"/>
            <w:vAlign w:val="center"/>
          </w:tcPr>
          <w:p w14:paraId="278FCB68">
            <w:pPr>
              <w:pStyle w:val="30"/>
              <w:widowControl w:val="0"/>
              <w:spacing w:before="0" w:beforeAutospacing="0" w:after="0" w:afterAutospacing="0" w:line="360" w:lineRule="auto"/>
              <w:jc w:val="left"/>
              <w:rPr>
                <w:rFonts w:ascii="宋体" w:hAnsi="宋体" w:eastAsia="宋体"/>
                <w:b w:val="0"/>
                <w:kern w:val="2"/>
                <w:sz w:val="24"/>
                <w:szCs w:val="22"/>
              </w:rPr>
            </w:pPr>
            <w:r>
              <w:rPr>
                <w:rFonts w:ascii="宋体" w:hAnsi="宋体" w:eastAsia="宋体"/>
                <w:b w:val="0"/>
                <w:kern w:val="2"/>
                <w:sz w:val="24"/>
                <w:szCs w:val="22"/>
              </w:rPr>
              <w:t>采购人</w:t>
            </w:r>
          </w:p>
        </w:tc>
        <w:tc>
          <w:tcPr>
            <w:tcW w:w="3245" w:type="pct"/>
            <w:vAlign w:val="center"/>
          </w:tcPr>
          <w:p w14:paraId="527B1332">
            <w:pPr>
              <w:pStyle w:val="30"/>
              <w:widowControl w:val="0"/>
              <w:spacing w:before="0" w:beforeAutospacing="0" w:after="0" w:afterAutospacing="0"/>
              <w:jc w:val="both"/>
              <w:rPr>
                <w:rFonts w:ascii="宋体" w:hAnsi="宋体" w:eastAsia="宋体"/>
                <w:b w:val="0"/>
                <w:bCs w:val="0"/>
                <w:kern w:val="2"/>
                <w:sz w:val="24"/>
                <w:szCs w:val="20"/>
              </w:rPr>
            </w:pPr>
            <w:r>
              <w:rPr>
                <w:rFonts w:hint="eastAsia" w:ascii="宋体" w:hAnsi="宋体" w:eastAsia="宋体"/>
                <w:b w:val="0"/>
                <w:bCs w:val="0"/>
                <w:kern w:val="2"/>
                <w:sz w:val="24"/>
                <w:szCs w:val="20"/>
              </w:rPr>
              <w:t>宁波</w:t>
            </w:r>
            <w:r>
              <w:rPr>
                <w:rFonts w:ascii="宋体" w:hAnsi="宋体" w:eastAsia="宋体"/>
                <w:b w:val="0"/>
                <w:bCs w:val="0"/>
                <w:kern w:val="2"/>
                <w:sz w:val="24"/>
                <w:szCs w:val="20"/>
              </w:rPr>
              <w:t>通商银行股份有限公司</w:t>
            </w:r>
            <w:r>
              <w:rPr>
                <w:rFonts w:hint="eastAsia" w:ascii="宋体" w:hAnsi="宋体" w:eastAsia="宋体"/>
                <w:b w:val="0"/>
                <w:bCs w:val="0"/>
                <w:kern w:val="2"/>
                <w:sz w:val="24"/>
                <w:szCs w:val="20"/>
                <w:u w:val="single"/>
              </w:rPr>
              <w:t xml:space="preserve"> </w:t>
            </w:r>
          </w:p>
        </w:tc>
      </w:tr>
      <w:tr w14:paraId="6A691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4ED26BB">
            <w:pPr>
              <w:pStyle w:val="31"/>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5</w:t>
            </w:r>
            <w:r>
              <w:rPr>
                <w:rFonts w:ascii="宋体" w:hAnsi="宋体" w:eastAsia="宋体"/>
                <w:bCs/>
                <w:kern w:val="2"/>
              </w:rPr>
              <w:t>.</w:t>
            </w:r>
            <w:r>
              <w:rPr>
                <w:rFonts w:hint="eastAsia" w:ascii="宋体" w:hAnsi="宋体" w:eastAsia="宋体"/>
                <w:bCs/>
                <w:kern w:val="2"/>
              </w:rPr>
              <w:t>2</w:t>
            </w:r>
          </w:p>
        </w:tc>
        <w:tc>
          <w:tcPr>
            <w:tcW w:w="1174" w:type="pct"/>
            <w:vAlign w:val="center"/>
          </w:tcPr>
          <w:p w14:paraId="58F3B27E">
            <w:pPr>
              <w:pStyle w:val="30"/>
              <w:widowControl w:val="0"/>
              <w:spacing w:before="0" w:beforeAutospacing="0" w:after="0" w:afterAutospacing="0" w:line="360" w:lineRule="auto"/>
              <w:jc w:val="left"/>
              <w:rPr>
                <w:rFonts w:ascii="宋体" w:hAnsi="宋体" w:eastAsia="宋体"/>
                <w:b w:val="0"/>
                <w:sz w:val="24"/>
              </w:rPr>
            </w:pPr>
            <w:r>
              <w:rPr>
                <w:rFonts w:hint="eastAsia" w:ascii="宋体" w:hAnsi="宋体" w:eastAsia="宋体"/>
                <w:b w:val="0"/>
                <w:sz w:val="24"/>
              </w:rPr>
              <w:t>现场考察或标前答疑会</w:t>
            </w:r>
          </w:p>
        </w:tc>
        <w:tc>
          <w:tcPr>
            <w:tcW w:w="3245" w:type="pct"/>
            <w:vAlign w:val="center"/>
          </w:tcPr>
          <w:p w14:paraId="18136E75">
            <w:pPr>
              <w:pStyle w:val="60"/>
              <w:jc w:val="both"/>
              <w:rPr>
                <w:rFonts w:ascii="宋体" w:hAnsi="宋体" w:eastAsia="宋体"/>
                <w:bCs/>
              </w:rPr>
            </w:pPr>
            <w:r>
              <w:rPr>
                <w:rFonts w:hint="eastAsia"/>
                <w:sz w:val="23"/>
                <w:szCs w:val="23"/>
              </w:rPr>
              <w:t>☑</w:t>
            </w:r>
            <w:r>
              <w:rPr>
                <w:rFonts w:hint="eastAsia" w:ascii="宋体" w:hAnsi="宋体" w:eastAsia="宋体"/>
              </w:rPr>
              <w:t>不组织或不召开</w:t>
            </w:r>
          </w:p>
          <w:p w14:paraId="3C813A72">
            <w:pPr>
              <w:spacing w:line="360" w:lineRule="auto"/>
              <w:rPr>
                <w:rFonts w:ascii="宋体" w:hAnsi="宋体" w:eastAsia="宋体"/>
                <w:bCs/>
                <w:sz w:val="24"/>
              </w:rPr>
            </w:pPr>
            <w:r>
              <w:rPr>
                <w:rFonts w:hint="eastAsia" w:ascii="宋体" w:hAnsi="宋体" w:eastAsia="宋体"/>
                <w:sz w:val="24"/>
              </w:rPr>
              <w:t>□</w:t>
            </w:r>
            <w:r>
              <w:rPr>
                <w:rFonts w:hint="eastAsia" w:ascii="宋体" w:hAnsi="宋体" w:eastAsia="宋体"/>
                <w:bCs/>
                <w:sz w:val="24"/>
              </w:rPr>
              <w:t>统一组织或统一召开</w:t>
            </w:r>
          </w:p>
          <w:p w14:paraId="44AC0D3E">
            <w:pPr>
              <w:spacing w:line="360" w:lineRule="auto"/>
              <w:rPr>
                <w:rFonts w:ascii="宋体" w:hAnsi="宋体" w:eastAsia="宋体"/>
                <w:bCs/>
                <w:sz w:val="24"/>
                <w:u w:val="single"/>
              </w:rPr>
            </w:pPr>
            <w:r>
              <w:rPr>
                <w:rFonts w:hint="eastAsia" w:ascii="宋体" w:hAnsi="宋体" w:eastAsia="宋体"/>
                <w:bCs/>
                <w:sz w:val="24"/>
              </w:rPr>
              <w:t>时间：</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rPr>
              <w:t>年</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rPr>
              <w:t>月</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rPr>
              <w:t>日</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rPr>
              <w:t>时</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rPr>
              <w:t>分</w:t>
            </w:r>
          </w:p>
          <w:p w14:paraId="1784D799">
            <w:pPr>
              <w:spacing w:line="360" w:lineRule="auto"/>
              <w:rPr>
                <w:rFonts w:ascii="宋体" w:hAnsi="宋体" w:eastAsia="宋体"/>
                <w:bCs/>
                <w:sz w:val="24"/>
                <w:u w:val="single"/>
              </w:rPr>
            </w:pPr>
            <w:r>
              <w:rPr>
                <w:rFonts w:hint="eastAsia" w:ascii="宋体" w:hAnsi="宋体" w:eastAsia="宋体"/>
                <w:bCs/>
                <w:sz w:val="24"/>
              </w:rPr>
              <w:t>地点：</w:t>
            </w:r>
            <w:r>
              <w:rPr>
                <w:rFonts w:hint="eastAsia" w:ascii="宋体" w:hAnsi="宋体" w:eastAsia="宋体"/>
                <w:bCs/>
                <w:sz w:val="24"/>
                <w:u w:val="single"/>
              </w:rPr>
              <w:t xml:space="preserve"> </w:t>
            </w:r>
            <w:r>
              <w:rPr>
                <w:rFonts w:ascii="宋体" w:hAnsi="宋体" w:eastAsia="宋体"/>
                <w:bCs/>
                <w:sz w:val="24"/>
                <w:u w:val="single"/>
              </w:rPr>
              <w:t xml:space="preserve">                      </w:t>
            </w:r>
          </w:p>
          <w:p w14:paraId="5E4FB46A">
            <w:pPr>
              <w:spacing w:line="360" w:lineRule="auto"/>
              <w:rPr>
                <w:rFonts w:ascii="宋体" w:hAnsi="宋体" w:eastAsia="宋体"/>
                <w:bCs/>
                <w:sz w:val="24"/>
                <w:u w:val="single"/>
              </w:rPr>
            </w:pPr>
            <w:r>
              <w:rPr>
                <w:rFonts w:hint="eastAsia" w:ascii="宋体" w:hAnsi="宋体" w:eastAsia="宋体"/>
                <w:bCs/>
                <w:sz w:val="24"/>
              </w:rPr>
              <w:t>联系人及联系电话：</w:t>
            </w:r>
            <w:r>
              <w:rPr>
                <w:rFonts w:hint="eastAsia" w:ascii="宋体" w:hAnsi="宋体" w:eastAsia="宋体"/>
                <w:bCs/>
                <w:sz w:val="24"/>
                <w:u w:val="single"/>
              </w:rPr>
              <w:t xml:space="preserve"> </w:t>
            </w:r>
            <w:r>
              <w:rPr>
                <w:rFonts w:ascii="宋体" w:hAnsi="宋体" w:eastAsia="宋体"/>
                <w:bCs/>
                <w:sz w:val="24"/>
                <w:u w:val="single"/>
              </w:rPr>
              <w:t xml:space="preserve">          </w:t>
            </w:r>
          </w:p>
          <w:p w14:paraId="32C92A50">
            <w:pPr>
              <w:pStyle w:val="30"/>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Cs w:val="0"/>
                <w:sz w:val="24"/>
              </w:rPr>
              <w:t>注：如投标人未参加采购人统一组织的现场考察或采购人统一召开的标前答疑会，视同放弃现场考察或标前答疑会，由此引起的一切责任由投标人自行承担。</w:t>
            </w:r>
          </w:p>
        </w:tc>
      </w:tr>
      <w:tr w14:paraId="47EF0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C9CAB36">
            <w:pPr>
              <w:pStyle w:val="31"/>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6</w:t>
            </w:r>
            <w:r>
              <w:rPr>
                <w:rFonts w:ascii="宋体" w:hAnsi="宋体" w:eastAsia="宋体"/>
                <w:bCs/>
                <w:kern w:val="2"/>
              </w:rPr>
              <w:t>.1</w:t>
            </w:r>
          </w:p>
        </w:tc>
        <w:tc>
          <w:tcPr>
            <w:tcW w:w="1174" w:type="pct"/>
            <w:vAlign w:val="center"/>
          </w:tcPr>
          <w:p w14:paraId="0161104F">
            <w:pPr>
              <w:pStyle w:val="30"/>
              <w:widowControl w:val="0"/>
              <w:spacing w:before="0" w:beforeAutospacing="0" w:after="0" w:afterAutospacing="0"/>
              <w:jc w:val="left"/>
              <w:rPr>
                <w:rFonts w:ascii="宋体" w:hAnsi="宋体" w:eastAsia="宋体"/>
                <w:b w:val="0"/>
                <w:sz w:val="24"/>
              </w:rPr>
            </w:pPr>
            <w:r>
              <w:rPr>
                <w:rFonts w:hint="eastAsia" w:ascii="宋体" w:hAnsi="宋体" w:eastAsia="宋体"/>
                <w:b w:val="0"/>
                <w:sz w:val="24"/>
              </w:rPr>
              <w:t>询问截止时间</w:t>
            </w:r>
          </w:p>
        </w:tc>
        <w:tc>
          <w:tcPr>
            <w:tcW w:w="3245" w:type="pct"/>
            <w:vAlign w:val="center"/>
          </w:tcPr>
          <w:p w14:paraId="03BB6A70">
            <w:pPr>
              <w:pStyle w:val="30"/>
              <w:widowControl w:val="0"/>
              <w:spacing w:before="0" w:beforeAutospacing="0" w:after="0" w:afterAutospacing="0"/>
              <w:jc w:val="both"/>
              <w:rPr>
                <w:rFonts w:ascii="宋体" w:hAnsi="宋体" w:eastAsia="宋体"/>
                <w:b w:val="0"/>
                <w:sz w:val="24"/>
              </w:rPr>
            </w:pPr>
            <w:r>
              <w:rPr>
                <w:rFonts w:ascii="宋体" w:hAnsi="宋体" w:eastAsia="宋体"/>
                <w:b w:val="0"/>
                <w:sz w:val="24"/>
                <w:u w:val="single"/>
              </w:rPr>
              <w:t>2026</w:t>
            </w:r>
            <w:r>
              <w:rPr>
                <w:rFonts w:ascii="宋体" w:hAnsi="宋体" w:eastAsia="宋体"/>
                <w:b w:val="0"/>
                <w:sz w:val="24"/>
              </w:rPr>
              <w:t>年</w:t>
            </w:r>
            <w:r>
              <w:rPr>
                <w:rFonts w:ascii="宋体" w:hAnsi="宋体" w:eastAsia="宋体"/>
                <w:b w:val="0"/>
                <w:sz w:val="24"/>
                <w:u w:val="single"/>
              </w:rPr>
              <w:t xml:space="preserve"> 6 </w:t>
            </w:r>
            <w:r>
              <w:rPr>
                <w:rFonts w:ascii="宋体" w:hAnsi="宋体" w:eastAsia="宋体"/>
                <w:b w:val="0"/>
                <w:sz w:val="24"/>
              </w:rPr>
              <w:t>月</w:t>
            </w:r>
            <w:r>
              <w:rPr>
                <w:rFonts w:ascii="宋体" w:hAnsi="宋体" w:eastAsia="宋体"/>
                <w:b w:val="0"/>
                <w:sz w:val="24"/>
                <w:u w:val="single"/>
              </w:rPr>
              <w:t xml:space="preserve"> </w:t>
            </w:r>
            <w:r>
              <w:rPr>
                <w:rFonts w:hint="eastAsia" w:ascii="宋体" w:hAnsi="宋体" w:eastAsia="宋体"/>
                <w:b w:val="0"/>
                <w:sz w:val="24"/>
                <w:u w:val="single"/>
                <w:lang w:val="en-US" w:eastAsia="zh-CN"/>
              </w:rPr>
              <w:t>18</w:t>
            </w:r>
            <w:r>
              <w:rPr>
                <w:rFonts w:ascii="宋体" w:hAnsi="宋体" w:eastAsia="宋体"/>
                <w:b w:val="0"/>
                <w:sz w:val="24"/>
                <w:u w:val="single"/>
              </w:rPr>
              <w:t xml:space="preserve"> </w:t>
            </w:r>
            <w:r>
              <w:rPr>
                <w:rFonts w:ascii="宋体" w:hAnsi="宋体" w:eastAsia="宋体"/>
                <w:b w:val="0"/>
                <w:sz w:val="24"/>
              </w:rPr>
              <w:t>日</w:t>
            </w:r>
            <w:r>
              <w:rPr>
                <w:rFonts w:ascii="宋体" w:hAnsi="宋体" w:eastAsia="宋体"/>
                <w:b w:val="0"/>
                <w:sz w:val="24"/>
                <w:u w:val="single"/>
              </w:rPr>
              <w:t xml:space="preserve"> 17 </w:t>
            </w:r>
            <w:r>
              <w:rPr>
                <w:rFonts w:ascii="宋体" w:hAnsi="宋体" w:eastAsia="宋体"/>
                <w:b w:val="0"/>
                <w:sz w:val="24"/>
              </w:rPr>
              <w:t>时</w:t>
            </w:r>
            <w:r>
              <w:rPr>
                <w:rFonts w:ascii="宋体" w:hAnsi="宋体" w:eastAsia="宋体"/>
                <w:b w:val="0"/>
                <w:sz w:val="24"/>
                <w:u w:val="single"/>
              </w:rPr>
              <w:t xml:space="preserve"> 00 </w:t>
            </w:r>
            <w:r>
              <w:rPr>
                <w:rFonts w:hint="eastAsia" w:ascii="宋体" w:hAnsi="宋体" w:eastAsia="宋体"/>
                <w:b w:val="0"/>
                <w:sz w:val="24"/>
              </w:rPr>
              <w:t>分</w:t>
            </w:r>
          </w:p>
        </w:tc>
      </w:tr>
      <w:tr w14:paraId="1E6A3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7C460FA">
            <w:pPr>
              <w:pStyle w:val="31"/>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7</w:t>
            </w:r>
            <w:r>
              <w:rPr>
                <w:rFonts w:ascii="宋体" w:hAnsi="宋体" w:eastAsia="宋体"/>
                <w:bCs/>
                <w:kern w:val="2"/>
              </w:rPr>
              <w:t>.1</w:t>
            </w:r>
          </w:p>
        </w:tc>
        <w:tc>
          <w:tcPr>
            <w:tcW w:w="1174" w:type="pct"/>
            <w:vAlign w:val="center"/>
          </w:tcPr>
          <w:p w14:paraId="03C930AA">
            <w:pPr>
              <w:pStyle w:val="30"/>
              <w:widowControl w:val="0"/>
              <w:spacing w:before="0" w:beforeAutospacing="0" w:after="0" w:afterAutospacing="0"/>
              <w:jc w:val="left"/>
              <w:rPr>
                <w:rFonts w:ascii="宋体" w:hAnsi="宋体" w:eastAsia="宋体"/>
                <w:b w:val="0"/>
                <w:sz w:val="24"/>
              </w:rPr>
            </w:pPr>
            <w:r>
              <w:rPr>
                <w:rFonts w:hint="eastAsia" w:ascii="宋体" w:hAnsi="宋体" w:eastAsia="宋体"/>
                <w:b w:val="0"/>
                <w:sz w:val="24"/>
              </w:rPr>
              <w:t>标项划分</w:t>
            </w:r>
          </w:p>
        </w:tc>
        <w:tc>
          <w:tcPr>
            <w:tcW w:w="3245" w:type="pct"/>
            <w:vAlign w:val="center"/>
          </w:tcPr>
          <w:p w14:paraId="585C9511">
            <w:pPr>
              <w:pStyle w:val="60"/>
              <w:jc w:val="both"/>
              <w:rPr>
                <w:rFonts w:ascii="宋体" w:hAnsi="宋体" w:eastAsia="宋体"/>
                <w:b/>
              </w:rPr>
            </w:pPr>
            <w:r>
              <w:rPr>
                <w:rFonts w:hint="eastAsia"/>
                <w:sz w:val="23"/>
                <w:szCs w:val="23"/>
              </w:rPr>
              <w:t>☑</w:t>
            </w:r>
            <w:r>
              <w:rPr>
                <w:rFonts w:ascii="宋体" w:hAnsi="宋体" w:eastAsia="宋体"/>
                <w:b/>
              </w:rPr>
              <w:t>不分标项     □分为</w:t>
            </w:r>
            <w:r>
              <w:rPr>
                <w:rFonts w:ascii="宋体" w:hAnsi="宋体" w:eastAsia="宋体"/>
                <w:b/>
                <w:u w:val="single"/>
              </w:rPr>
              <w:t xml:space="preserve">  </w:t>
            </w:r>
            <w:r>
              <w:rPr>
                <w:rFonts w:ascii="宋体" w:hAnsi="宋体" w:eastAsia="宋体"/>
                <w:b/>
              </w:rPr>
              <w:t>个标项</w:t>
            </w:r>
          </w:p>
          <w:p w14:paraId="72CF8690">
            <w:pPr>
              <w:pStyle w:val="30"/>
              <w:widowControl w:val="0"/>
              <w:spacing w:before="0" w:beforeAutospacing="0" w:after="0" w:afterAutospacing="0"/>
              <w:jc w:val="both"/>
              <w:rPr>
                <w:rFonts w:ascii="宋体" w:hAnsi="宋体" w:eastAsia="宋体"/>
                <w:b w:val="0"/>
                <w:sz w:val="24"/>
                <w:u w:val="single"/>
              </w:rPr>
            </w:pPr>
            <w:r>
              <w:rPr>
                <w:rFonts w:hint="eastAsia" w:ascii="宋体" w:hAnsi="宋体" w:eastAsia="宋体"/>
                <w:b w:val="0"/>
                <w:sz w:val="24"/>
              </w:rPr>
              <w:t>投标人对多个标项进行投标的中标</w:t>
            </w:r>
            <w:r>
              <w:rPr>
                <w:rFonts w:ascii="宋体" w:hAnsi="宋体" w:eastAsia="宋体"/>
                <w:b w:val="0"/>
                <w:sz w:val="24"/>
              </w:rPr>
              <w:t>标项</w:t>
            </w:r>
            <w:r>
              <w:rPr>
                <w:rFonts w:hint="eastAsia" w:ascii="宋体" w:hAnsi="宋体" w:eastAsia="宋体"/>
                <w:b w:val="0"/>
                <w:sz w:val="24"/>
              </w:rPr>
              <w:t>数规定：</w:t>
            </w:r>
            <w:r>
              <w:rPr>
                <w:rFonts w:hint="eastAsia" w:ascii="宋体" w:hAnsi="宋体" w:eastAsia="宋体"/>
                <w:b w:val="0"/>
                <w:bCs w:val="0"/>
                <w:sz w:val="24"/>
                <w:szCs w:val="18"/>
                <w:u w:val="single"/>
              </w:rPr>
              <w:t xml:space="preserve"> </w:t>
            </w:r>
            <w:r>
              <w:rPr>
                <w:rFonts w:ascii="宋体" w:hAnsi="宋体" w:eastAsia="宋体"/>
                <w:b w:val="0"/>
                <w:bCs w:val="0"/>
                <w:sz w:val="24"/>
                <w:szCs w:val="18"/>
                <w:u w:val="single"/>
              </w:rPr>
              <w:t xml:space="preserve">       </w:t>
            </w:r>
          </w:p>
        </w:tc>
      </w:tr>
      <w:tr w14:paraId="007F2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581" w:type="pct"/>
            <w:vAlign w:val="center"/>
          </w:tcPr>
          <w:p w14:paraId="6BC907AB">
            <w:pPr>
              <w:pStyle w:val="31"/>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8.2</w:t>
            </w:r>
          </w:p>
        </w:tc>
        <w:tc>
          <w:tcPr>
            <w:tcW w:w="1174" w:type="pct"/>
            <w:vAlign w:val="center"/>
          </w:tcPr>
          <w:p w14:paraId="1A381D77">
            <w:pPr>
              <w:pStyle w:val="30"/>
              <w:widowControl w:val="0"/>
              <w:spacing w:before="0" w:beforeAutospacing="0" w:after="0" w:afterAutospacing="0"/>
              <w:jc w:val="both"/>
              <w:rPr>
                <w:rFonts w:ascii="宋体" w:hAnsi="宋体" w:eastAsia="宋体"/>
                <w:b w:val="0"/>
                <w:sz w:val="24"/>
              </w:rPr>
            </w:pPr>
            <w:r>
              <w:rPr>
                <w:rFonts w:ascii="宋体" w:hAnsi="宋体" w:eastAsia="宋体"/>
                <w:b w:val="0"/>
                <w:sz w:val="24"/>
              </w:rPr>
              <w:t>投标文件装订</w:t>
            </w:r>
          </w:p>
        </w:tc>
        <w:tc>
          <w:tcPr>
            <w:tcW w:w="3245" w:type="pct"/>
            <w:vAlign w:val="center"/>
          </w:tcPr>
          <w:p w14:paraId="75CF18E5">
            <w:pPr>
              <w:pStyle w:val="30"/>
              <w:widowControl w:val="0"/>
              <w:spacing w:before="0" w:beforeAutospacing="0" w:after="0" w:afterAutospacing="0"/>
              <w:jc w:val="both"/>
              <w:rPr>
                <w:rFonts w:ascii="宋体" w:hAnsi="宋体" w:eastAsia="宋体"/>
                <w:b w:val="0"/>
                <w:sz w:val="24"/>
              </w:rPr>
            </w:pPr>
            <w:r>
              <w:rPr>
                <w:rFonts w:hint="eastAsia" w:ascii="宋体" w:hAnsi="宋体" w:eastAsia="宋体"/>
                <w:b w:val="0"/>
                <w:sz w:val="24"/>
              </w:rPr>
              <w:t>（1）</w:t>
            </w:r>
            <w:r>
              <w:rPr>
                <w:rFonts w:ascii="宋体" w:hAnsi="宋体" w:eastAsia="宋体"/>
                <w:b w:val="0"/>
                <w:sz w:val="24"/>
              </w:rPr>
              <w:t>纸质投标文件正副本分册</w:t>
            </w:r>
            <w:r>
              <w:rPr>
                <w:rFonts w:hint="eastAsia" w:ascii="宋体" w:hAnsi="宋体" w:eastAsia="宋体"/>
                <w:b w:val="0"/>
                <w:sz w:val="24"/>
              </w:rPr>
              <w:t>装订</w:t>
            </w:r>
            <w:r>
              <w:rPr>
                <w:rFonts w:ascii="宋体" w:hAnsi="宋体" w:eastAsia="宋体"/>
                <w:b w:val="0"/>
                <w:sz w:val="24"/>
              </w:rPr>
              <w:t>。</w:t>
            </w:r>
          </w:p>
          <w:p w14:paraId="24FB1203">
            <w:pPr>
              <w:pStyle w:val="30"/>
              <w:widowControl w:val="0"/>
              <w:spacing w:before="0" w:beforeAutospacing="0" w:after="0" w:afterAutospacing="0"/>
              <w:jc w:val="both"/>
              <w:rPr>
                <w:rFonts w:ascii="宋体" w:hAnsi="宋体" w:eastAsia="宋体"/>
                <w:b w:val="0"/>
                <w:sz w:val="24"/>
              </w:rPr>
            </w:pPr>
            <w:r>
              <w:rPr>
                <w:rFonts w:hint="eastAsia" w:ascii="宋体" w:hAnsi="宋体" w:eastAsia="宋体"/>
                <w:b w:val="0"/>
                <w:sz w:val="24"/>
              </w:rPr>
              <w:t>（</w:t>
            </w:r>
            <w:r>
              <w:rPr>
                <w:rFonts w:ascii="宋体" w:hAnsi="宋体" w:eastAsia="宋体"/>
                <w:b w:val="0"/>
                <w:sz w:val="24"/>
              </w:rPr>
              <w:t>2</w:t>
            </w:r>
            <w:r>
              <w:rPr>
                <w:rFonts w:hint="eastAsia" w:ascii="宋体" w:hAnsi="宋体" w:eastAsia="宋体"/>
                <w:b w:val="0"/>
                <w:sz w:val="24"/>
              </w:rPr>
              <w:t>）</w:t>
            </w:r>
            <w:r>
              <w:rPr>
                <w:rFonts w:ascii="宋体" w:hAnsi="宋体" w:eastAsia="宋体"/>
                <w:b w:val="0"/>
                <w:sz w:val="24"/>
              </w:rPr>
              <w:t>投标文件为A4幅面，</w:t>
            </w:r>
            <w:r>
              <w:rPr>
                <w:rFonts w:hint="eastAsia" w:ascii="宋体" w:hAnsi="宋体" w:eastAsia="宋体"/>
                <w:b w:val="0"/>
                <w:sz w:val="24"/>
              </w:rPr>
              <w:t>装订</w:t>
            </w:r>
            <w:r>
              <w:rPr>
                <w:rFonts w:ascii="宋体" w:hAnsi="宋体" w:eastAsia="宋体"/>
                <w:b w:val="0"/>
                <w:sz w:val="24"/>
              </w:rPr>
              <w:t>成册，否则其投标无效</w:t>
            </w:r>
            <w:r>
              <w:rPr>
                <w:rFonts w:hint="eastAsia" w:ascii="宋体" w:hAnsi="宋体" w:eastAsia="宋体"/>
                <w:b w:val="0"/>
                <w:sz w:val="24"/>
              </w:rPr>
              <w:t>，</w:t>
            </w:r>
            <w:r>
              <w:rPr>
                <w:rFonts w:ascii="宋体" w:hAnsi="宋体" w:eastAsia="宋体"/>
                <w:b w:val="0"/>
                <w:sz w:val="24"/>
              </w:rPr>
              <w:t>要求如下：</w:t>
            </w:r>
          </w:p>
          <w:p w14:paraId="4EEECAA4">
            <w:pPr>
              <w:pStyle w:val="30"/>
              <w:widowControl w:val="0"/>
              <w:spacing w:before="0" w:beforeAutospacing="0" w:after="0" w:afterAutospacing="0"/>
              <w:jc w:val="both"/>
              <w:rPr>
                <w:rFonts w:ascii="宋体" w:hAnsi="宋体" w:eastAsia="宋体"/>
                <w:b w:val="0"/>
                <w:sz w:val="24"/>
              </w:rPr>
            </w:pPr>
            <w:r>
              <w:rPr>
                <w:rFonts w:ascii="Segoe UI Symbol" w:hAnsi="Segoe UI Symbol" w:eastAsia="宋体" w:cs="Segoe UI Symbol"/>
                <w:b w:val="0"/>
                <w:bCs w:val="0"/>
                <w:sz w:val="24"/>
                <w:szCs w:val="24"/>
              </w:rPr>
              <w:t>☑</w:t>
            </w:r>
            <w:r>
              <w:rPr>
                <w:rFonts w:hint="eastAsia" w:ascii="宋体" w:hAnsi="宋体" w:eastAsia="宋体"/>
                <w:b w:val="0"/>
                <w:sz w:val="24"/>
              </w:rPr>
              <w:t>技术资信标</w:t>
            </w:r>
            <w:r>
              <w:rPr>
                <w:rFonts w:ascii="宋体" w:hAnsi="宋体" w:eastAsia="宋体"/>
                <w:b w:val="0"/>
                <w:sz w:val="24"/>
              </w:rPr>
              <w:t>、价格标装订成一</w:t>
            </w:r>
            <w:r>
              <w:rPr>
                <w:rFonts w:hint="eastAsia" w:ascii="宋体" w:hAnsi="宋体" w:eastAsia="宋体"/>
                <w:b w:val="0"/>
                <w:sz w:val="24"/>
              </w:rPr>
              <w:t>册；</w:t>
            </w:r>
          </w:p>
          <w:p w14:paraId="39E0CF58">
            <w:pPr>
              <w:pStyle w:val="30"/>
              <w:widowControl w:val="0"/>
              <w:spacing w:before="0" w:beforeAutospacing="0" w:after="0" w:afterAutospacing="0"/>
              <w:jc w:val="both"/>
              <w:rPr>
                <w:rFonts w:ascii="宋体" w:hAnsi="宋体" w:eastAsia="宋体"/>
                <w:b w:val="0"/>
                <w:sz w:val="24"/>
              </w:rPr>
            </w:pPr>
            <w:r>
              <w:rPr>
                <w:rFonts w:ascii="宋体" w:hAnsi="宋体" w:eastAsia="宋体"/>
                <w:b w:val="0"/>
                <w:bCs w:val="0"/>
                <w:sz w:val="24"/>
                <w:szCs w:val="24"/>
              </w:rPr>
              <w:t>□</w:t>
            </w:r>
            <w:r>
              <w:rPr>
                <w:rFonts w:hint="eastAsia" w:ascii="宋体" w:hAnsi="宋体" w:eastAsia="宋体"/>
                <w:b w:val="0"/>
                <w:sz w:val="24"/>
              </w:rPr>
              <w:t>技术</w:t>
            </w:r>
            <w:r>
              <w:rPr>
                <w:rFonts w:ascii="宋体" w:hAnsi="宋体" w:eastAsia="宋体"/>
                <w:b w:val="0"/>
                <w:sz w:val="24"/>
              </w:rPr>
              <w:t>资信标、价格标</w:t>
            </w:r>
            <w:r>
              <w:rPr>
                <w:rFonts w:hint="eastAsia" w:ascii="宋体" w:hAnsi="宋体" w:eastAsia="宋体"/>
                <w:b w:val="0"/>
                <w:sz w:val="24"/>
              </w:rPr>
              <w:t>独立</w:t>
            </w:r>
            <w:r>
              <w:rPr>
                <w:rFonts w:ascii="宋体" w:hAnsi="宋体" w:eastAsia="宋体"/>
                <w:b w:val="0"/>
                <w:sz w:val="24"/>
              </w:rPr>
              <w:t>装订成册</w:t>
            </w:r>
            <w:r>
              <w:rPr>
                <w:rFonts w:hint="eastAsia" w:ascii="宋体" w:hAnsi="宋体" w:eastAsia="宋体"/>
                <w:b w:val="0"/>
                <w:sz w:val="24"/>
              </w:rPr>
              <w:t>，并</w:t>
            </w:r>
            <w:r>
              <w:rPr>
                <w:rFonts w:ascii="宋体" w:hAnsi="宋体" w:eastAsia="宋体"/>
                <w:b w:val="0"/>
                <w:sz w:val="24"/>
              </w:rPr>
              <w:t>分别密封。</w:t>
            </w:r>
          </w:p>
        </w:tc>
      </w:tr>
      <w:tr w14:paraId="69DB8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81" w:type="pct"/>
            <w:vAlign w:val="center"/>
          </w:tcPr>
          <w:p w14:paraId="2A07FCFF">
            <w:pPr>
              <w:pStyle w:val="31"/>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8.3</w:t>
            </w:r>
          </w:p>
        </w:tc>
        <w:tc>
          <w:tcPr>
            <w:tcW w:w="1174" w:type="pct"/>
            <w:vAlign w:val="center"/>
          </w:tcPr>
          <w:p w14:paraId="0F81907E">
            <w:pPr>
              <w:pStyle w:val="30"/>
              <w:widowControl w:val="0"/>
              <w:spacing w:before="0" w:beforeAutospacing="0" w:after="0" w:afterAutospacing="0"/>
              <w:jc w:val="both"/>
              <w:rPr>
                <w:rFonts w:ascii="宋体" w:hAnsi="宋体" w:eastAsia="宋体"/>
                <w:b w:val="0"/>
                <w:sz w:val="24"/>
              </w:rPr>
            </w:pPr>
            <w:r>
              <w:rPr>
                <w:rFonts w:ascii="宋体" w:hAnsi="宋体" w:eastAsia="宋体"/>
                <w:b w:val="0"/>
                <w:sz w:val="24"/>
              </w:rPr>
              <w:t>投标文件份数</w:t>
            </w:r>
          </w:p>
        </w:tc>
        <w:tc>
          <w:tcPr>
            <w:tcW w:w="3245" w:type="pct"/>
            <w:vAlign w:val="center"/>
          </w:tcPr>
          <w:p w14:paraId="7890E62F">
            <w:pPr>
              <w:pStyle w:val="30"/>
              <w:widowControl w:val="0"/>
              <w:spacing w:before="0" w:beforeAutospacing="0" w:after="0" w:afterAutospacing="0"/>
              <w:jc w:val="both"/>
              <w:rPr>
                <w:rFonts w:ascii="宋体" w:hAnsi="宋体" w:eastAsia="宋体"/>
                <w:b w:val="0"/>
                <w:sz w:val="24"/>
              </w:rPr>
            </w:pPr>
            <w:r>
              <w:rPr>
                <w:rFonts w:ascii="宋体" w:hAnsi="宋体" w:eastAsia="宋体"/>
                <w:b w:val="0"/>
                <w:sz w:val="24"/>
              </w:rPr>
              <w:t>正本</w:t>
            </w:r>
            <w:r>
              <w:rPr>
                <w:rFonts w:ascii="宋体" w:hAnsi="宋体" w:eastAsia="宋体"/>
                <w:b w:val="0"/>
                <w:sz w:val="24"/>
                <w:u w:val="single"/>
              </w:rPr>
              <w:t xml:space="preserve"> 1 </w:t>
            </w:r>
            <w:r>
              <w:rPr>
                <w:rFonts w:ascii="宋体" w:hAnsi="宋体" w:eastAsia="宋体"/>
                <w:b w:val="0"/>
                <w:sz w:val="24"/>
              </w:rPr>
              <w:t>份，副本</w:t>
            </w:r>
            <w:r>
              <w:rPr>
                <w:rFonts w:ascii="宋体" w:hAnsi="宋体" w:eastAsia="宋体"/>
                <w:b w:val="0"/>
                <w:sz w:val="24"/>
                <w:u w:val="single"/>
              </w:rPr>
              <w:t xml:space="preserve">4 </w:t>
            </w:r>
            <w:r>
              <w:rPr>
                <w:rFonts w:ascii="宋体" w:hAnsi="宋体" w:eastAsia="宋体"/>
                <w:b w:val="0"/>
                <w:sz w:val="24"/>
              </w:rPr>
              <w:t>份</w:t>
            </w:r>
            <w:r>
              <w:rPr>
                <w:rFonts w:hint="eastAsia" w:ascii="宋体" w:hAnsi="宋体" w:eastAsia="宋体"/>
                <w:b w:val="0"/>
                <w:sz w:val="24"/>
              </w:rPr>
              <w:t>，</w:t>
            </w:r>
            <w:r>
              <w:rPr>
                <w:rFonts w:ascii="宋体" w:hAnsi="宋体" w:eastAsia="宋体"/>
                <w:b w:val="0"/>
                <w:sz w:val="24"/>
              </w:rPr>
              <w:t>电子版</w:t>
            </w:r>
            <w:r>
              <w:rPr>
                <w:rFonts w:hint="eastAsia" w:ascii="宋体" w:hAnsi="宋体" w:eastAsia="宋体"/>
                <w:b w:val="0"/>
                <w:sz w:val="24"/>
                <w:u w:val="single"/>
              </w:rPr>
              <w:t xml:space="preserve"> </w:t>
            </w:r>
            <w:r>
              <w:rPr>
                <w:rFonts w:ascii="宋体" w:hAnsi="宋体" w:eastAsia="宋体"/>
                <w:b w:val="0"/>
                <w:sz w:val="24"/>
                <w:u w:val="single"/>
              </w:rPr>
              <w:t>1</w:t>
            </w:r>
            <w:r>
              <w:rPr>
                <w:rFonts w:hint="eastAsia" w:ascii="宋体" w:hAnsi="宋体" w:eastAsia="宋体"/>
                <w:b w:val="0"/>
                <w:sz w:val="24"/>
                <w:u w:val="single"/>
              </w:rPr>
              <w:t xml:space="preserve"> </w:t>
            </w:r>
            <w:r>
              <w:rPr>
                <w:rFonts w:hint="eastAsia" w:ascii="宋体" w:hAnsi="宋体" w:eastAsia="宋体"/>
                <w:b w:val="0"/>
                <w:sz w:val="24"/>
              </w:rPr>
              <w:t>份</w:t>
            </w:r>
            <w:r>
              <w:rPr>
                <w:rFonts w:ascii="宋体" w:hAnsi="宋体" w:eastAsia="宋体"/>
                <w:b w:val="0"/>
                <w:sz w:val="24"/>
              </w:rPr>
              <w:t>。</w:t>
            </w:r>
          </w:p>
        </w:tc>
      </w:tr>
      <w:tr w14:paraId="434BE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2608F7DF">
            <w:pPr>
              <w:pStyle w:val="31"/>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10</w:t>
            </w:r>
            <w:r>
              <w:rPr>
                <w:rFonts w:ascii="宋体" w:hAnsi="宋体" w:eastAsia="宋体"/>
                <w:bCs/>
                <w:kern w:val="2"/>
              </w:rPr>
              <w:t>.1</w:t>
            </w:r>
          </w:p>
        </w:tc>
        <w:tc>
          <w:tcPr>
            <w:tcW w:w="1174" w:type="pct"/>
            <w:vAlign w:val="center"/>
          </w:tcPr>
          <w:p w14:paraId="4119F031">
            <w:pPr>
              <w:pStyle w:val="30"/>
              <w:widowControl w:val="0"/>
              <w:spacing w:before="0" w:beforeAutospacing="0" w:after="0" w:afterAutospacing="0" w:line="360" w:lineRule="auto"/>
              <w:jc w:val="left"/>
              <w:rPr>
                <w:rFonts w:ascii="宋体" w:hAnsi="宋体" w:eastAsia="宋体"/>
                <w:b w:val="0"/>
                <w:sz w:val="24"/>
              </w:rPr>
            </w:pPr>
            <w:r>
              <w:rPr>
                <w:rFonts w:hint="eastAsia" w:ascii="宋体" w:hAnsi="宋体" w:eastAsia="宋体"/>
                <w:b w:val="0"/>
                <w:sz w:val="24"/>
              </w:rPr>
              <w:t>投标保证金</w:t>
            </w:r>
          </w:p>
        </w:tc>
        <w:tc>
          <w:tcPr>
            <w:tcW w:w="3245" w:type="pct"/>
            <w:vAlign w:val="center"/>
          </w:tcPr>
          <w:p w14:paraId="1B205AE6">
            <w:pPr>
              <w:spacing w:line="360" w:lineRule="auto"/>
            </w:pPr>
            <w:r>
              <w:rPr>
                <w:rFonts w:hint="eastAsia" w:ascii="宋体" w:hAnsi="宋体" w:eastAsia="宋体"/>
                <w:bCs/>
                <w:kern w:val="0"/>
                <w:sz w:val="24"/>
                <w:szCs w:val="28"/>
              </w:rPr>
              <w:t>不收取</w:t>
            </w:r>
          </w:p>
        </w:tc>
      </w:tr>
      <w:tr w14:paraId="4F8F4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2F2107B">
            <w:pPr>
              <w:pStyle w:val="31"/>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11</w:t>
            </w:r>
            <w:r>
              <w:rPr>
                <w:rFonts w:ascii="宋体" w:hAnsi="宋体" w:eastAsia="宋体"/>
                <w:bCs/>
                <w:kern w:val="2"/>
              </w:rPr>
              <w:t>.1</w:t>
            </w:r>
          </w:p>
        </w:tc>
        <w:tc>
          <w:tcPr>
            <w:tcW w:w="1174" w:type="pct"/>
            <w:vAlign w:val="center"/>
          </w:tcPr>
          <w:p w14:paraId="2B6F118E">
            <w:pPr>
              <w:pStyle w:val="30"/>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投标有效期</w:t>
            </w:r>
          </w:p>
        </w:tc>
        <w:tc>
          <w:tcPr>
            <w:tcW w:w="3245" w:type="pct"/>
            <w:vAlign w:val="center"/>
          </w:tcPr>
          <w:p w14:paraId="5F014A61">
            <w:pPr>
              <w:pStyle w:val="30"/>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u w:val="single"/>
              </w:rPr>
              <w:t>90</w:t>
            </w:r>
            <w:r>
              <w:rPr>
                <w:rFonts w:hint="eastAsia" w:ascii="宋体" w:hAnsi="宋体" w:eastAsia="宋体"/>
                <w:b w:val="0"/>
                <w:sz w:val="24"/>
              </w:rPr>
              <w:t>日历日</w:t>
            </w:r>
          </w:p>
        </w:tc>
      </w:tr>
      <w:tr w14:paraId="26ECB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63A435C">
            <w:pPr>
              <w:pStyle w:val="31"/>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17</w:t>
            </w:r>
            <w:r>
              <w:rPr>
                <w:rFonts w:ascii="宋体" w:hAnsi="宋体" w:eastAsia="宋体"/>
                <w:bCs/>
                <w:kern w:val="2"/>
              </w:rPr>
              <w:t>.2</w:t>
            </w:r>
          </w:p>
        </w:tc>
        <w:tc>
          <w:tcPr>
            <w:tcW w:w="1174" w:type="pct"/>
            <w:vAlign w:val="center"/>
          </w:tcPr>
          <w:p w14:paraId="443700C8">
            <w:pPr>
              <w:pStyle w:val="30"/>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评标方法</w:t>
            </w:r>
          </w:p>
        </w:tc>
        <w:tc>
          <w:tcPr>
            <w:tcW w:w="3245" w:type="pct"/>
            <w:vAlign w:val="center"/>
          </w:tcPr>
          <w:p w14:paraId="0D25C2C4">
            <w:pPr>
              <w:pStyle w:val="30"/>
              <w:widowControl w:val="0"/>
              <w:spacing w:before="0" w:beforeAutospacing="0" w:after="0" w:afterAutospacing="0" w:line="360" w:lineRule="auto"/>
              <w:jc w:val="both"/>
              <w:rPr>
                <w:rFonts w:ascii="宋体" w:hAnsi="宋体" w:eastAsia="宋体"/>
                <w:b w:val="0"/>
                <w:sz w:val="24"/>
              </w:rPr>
            </w:pPr>
            <w:r>
              <w:rPr>
                <w:rFonts w:ascii="宋体" w:hAnsi="宋体" w:eastAsia="宋体"/>
                <w:b w:val="0"/>
                <w:bCs w:val="0"/>
                <w:sz w:val="24"/>
                <w:szCs w:val="24"/>
              </w:rPr>
              <w:t>□</w:t>
            </w:r>
            <w:r>
              <w:rPr>
                <w:rFonts w:hint="eastAsia" w:ascii="宋体" w:hAnsi="宋体" w:eastAsia="宋体"/>
                <w:b w:val="0"/>
                <w:sz w:val="24"/>
              </w:rPr>
              <w:t>最低评标价法</w:t>
            </w:r>
          </w:p>
          <w:p w14:paraId="7CAD7EF7">
            <w:pPr>
              <w:pStyle w:val="60"/>
              <w:jc w:val="both"/>
              <w:rPr>
                <w:rFonts w:ascii="宋体" w:hAnsi="宋体" w:eastAsia="宋体"/>
                <w:b/>
              </w:rPr>
            </w:pPr>
            <w:r>
              <w:rPr>
                <w:rFonts w:hint="eastAsia"/>
                <w:sz w:val="23"/>
                <w:szCs w:val="23"/>
              </w:rPr>
              <w:t>☑</w:t>
            </w:r>
            <w:r>
              <w:rPr>
                <w:rFonts w:hint="eastAsia" w:ascii="宋体" w:hAnsi="宋体" w:eastAsia="宋体"/>
                <w:b/>
              </w:rPr>
              <w:t>综合评分法</w:t>
            </w:r>
          </w:p>
        </w:tc>
      </w:tr>
      <w:tr w14:paraId="4BCD7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270C593">
            <w:pPr>
              <w:pStyle w:val="31"/>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21</w:t>
            </w:r>
            <w:r>
              <w:rPr>
                <w:rFonts w:ascii="宋体" w:hAnsi="宋体" w:eastAsia="宋体"/>
                <w:bCs/>
                <w:kern w:val="2"/>
              </w:rPr>
              <w:t>.</w:t>
            </w:r>
            <w:r>
              <w:rPr>
                <w:rFonts w:hint="eastAsia" w:ascii="宋体" w:hAnsi="宋体" w:eastAsia="宋体"/>
                <w:bCs/>
                <w:kern w:val="2"/>
              </w:rPr>
              <w:t>1</w:t>
            </w:r>
          </w:p>
        </w:tc>
        <w:tc>
          <w:tcPr>
            <w:tcW w:w="1174" w:type="pct"/>
            <w:vAlign w:val="center"/>
          </w:tcPr>
          <w:p w14:paraId="1B5875C4">
            <w:pPr>
              <w:pStyle w:val="30"/>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评标委员会推荐</w:t>
            </w:r>
            <w:r>
              <w:rPr>
                <w:rFonts w:ascii="宋体" w:hAnsi="宋体" w:eastAsia="宋体"/>
                <w:b w:val="0"/>
                <w:sz w:val="24"/>
              </w:rPr>
              <w:t>中标候选</w:t>
            </w:r>
            <w:r>
              <w:rPr>
                <w:rFonts w:hint="eastAsia" w:ascii="宋体" w:hAnsi="宋体" w:eastAsia="宋体"/>
                <w:b w:val="0"/>
                <w:sz w:val="24"/>
              </w:rPr>
              <w:t>人的</w:t>
            </w:r>
            <w:r>
              <w:rPr>
                <w:rFonts w:ascii="宋体" w:hAnsi="宋体" w:eastAsia="宋体"/>
                <w:b w:val="0"/>
                <w:sz w:val="24"/>
              </w:rPr>
              <w:t>数量</w:t>
            </w:r>
          </w:p>
        </w:tc>
        <w:tc>
          <w:tcPr>
            <w:tcW w:w="3245" w:type="pct"/>
            <w:vAlign w:val="center"/>
          </w:tcPr>
          <w:p w14:paraId="2BAAA01E">
            <w:pPr>
              <w:pStyle w:val="30"/>
              <w:widowControl w:val="0"/>
              <w:spacing w:before="0" w:beforeAutospacing="0" w:after="0" w:afterAutospacing="0" w:line="360" w:lineRule="auto"/>
              <w:jc w:val="both"/>
              <w:rPr>
                <w:rFonts w:ascii="宋体" w:hAnsi="宋体" w:eastAsia="宋体"/>
                <w:b w:val="0"/>
                <w:sz w:val="24"/>
                <w:u w:val="single"/>
              </w:rPr>
            </w:pPr>
            <w:r>
              <w:rPr>
                <w:rFonts w:hint="eastAsia" w:ascii="宋体" w:hAnsi="宋体" w:eastAsia="宋体"/>
                <w:b w:val="0"/>
                <w:sz w:val="24"/>
                <w:u w:val="single"/>
              </w:rPr>
              <w:t>最多入围3家供应商，</w:t>
            </w:r>
            <w:r>
              <w:rPr>
                <w:rFonts w:hint="eastAsia" w:ascii="宋体" w:hAnsi="宋体" w:eastAsia="宋体"/>
                <w:b w:val="0"/>
                <w:sz w:val="24"/>
                <w:u w:val="single"/>
                <w:lang w:val="en-US" w:eastAsia="zh-CN"/>
              </w:rPr>
              <w:t>且</w:t>
            </w:r>
            <w:r>
              <w:rPr>
                <w:rFonts w:hint="eastAsia" w:ascii="宋体" w:hAnsi="宋体" w:eastAsia="宋体"/>
                <w:b w:val="0"/>
                <w:sz w:val="24"/>
                <w:u w:val="single"/>
              </w:rPr>
              <w:t>至少淘汰1家供应商。</w:t>
            </w:r>
          </w:p>
        </w:tc>
      </w:tr>
      <w:tr w14:paraId="38564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444A058">
            <w:pPr>
              <w:pStyle w:val="31"/>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21</w:t>
            </w:r>
            <w:r>
              <w:rPr>
                <w:rFonts w:ascii="宋体" w:hAnsi="宋体" w:eastAsia="宋体"/>
                <w:bCs/>
                <w:kern w:val="2"/>
              </w:rPr>
              <w:t>.</w:t>
            </w:r>
            <w:r>
              <w:rPr>
                <w:rFonts w:hint="eastAsia" w:ascii="宋体" w:hAnsi="宋体" w:eastAsia="宋体"/>
                <w:bCs/>
                <w:kern w:val="2"/>
              </w:rPr>
              <w:t>2</w:t>
            </w:r>
          </w:p>
        </w:tc>
        <w:tc>
          <w:tcPr>
            <w:tcW w:w="1174" w:type="pct"/>
            <w:vAlign w:val="center"/>
          </w:tcPr>
          <w:p w14:paraId="77C80FA8">
            <w:pPr>
              <w:pStyle w:val="30"/>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确定中标人</w:t>
            </w:r>
          </w:p>
        </w:tc>
        <w:tc>
          <w:tcPr>
            <w:tcW w:w="3245" w:type="pct"/>
            <w:vAlign w:val="center"/>
          </w:tcPr>
          <w:p w14:paraId="510D8901">
            <w:pPr>
              <w:pStyle w:val="60"/>
              <w:jc w:val="both"/>
              <w:rPr>
                <w:rFonts w:asciiTheme="minorEastAsia" w:hAnsiTheme="minorEastAsia" w:eastAsiaTheme="minorEastAsia"/>
              </w:rPr>
            </w:pPr>
            <w:r>
              <w:rPr>
                <w:rFonts w:hint="eastAsia"/>
                <w:sz w:val="23"/>
                <w:szCs w:val="23"/>
              </w:rPr>
              <w:t>☑</w:t>
            </w:r>
            <w:r>
              <w:rPr>
                <w:rFonts w:hint="eastAsia" w:asciiTheme="minorEastAsia" w:hAnsiTheme="minorEastAsia" w:eastAsiaTheme="minorEastAsia"/>
              </w:rPr>
              <w:t>采购人委托评标委员会确定</w:t>
            </w:r>
          </w:p>
          <w:p w14:paraId="0F4DD7A3">
            <w:pPr>
              <w:pStyle w:val="30"/>
              <w:widowControl w:val="0"/>
              <w:spacing w:before="0" w:beforeAutospacing="0" w:after="0" w:afterAutospacing="0" w:line="360" w:lineRule="auto"/>
              <w:jc w:val="both"/>
              <w:rPr>
                <w:rFonts w:ascii="宋体" w:hAnsi="宋体" w:eastAsia="宋体"/>
                <w:b w:val="0"/>
                <w:sz w:val="24"/>
              </w:rPr>
            </w:pPr>
            <w:r>
              <w:rPr>
                <w:rFonts w:hint="eastAsia" w:asciiTheme="minorEastAsia" w:hAnsiTheme="minorEastAsia" w:eastAsiaTheme="minorEastAsia"/>
                <w:b w:val="0"/>
                <w:bCs w:val="0"/>
                <w:kern w:val="2"/>
                <w:sz w:val="24"/>
                <w:szCs w:val="24"/>
              </w:rPr>
              <w:t>□采购人确定</w:t>
            </w:r>
          </w:p>
        </w:tc>
      </w:tr>
      <w:tr w14:paraId="049A3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1F187CE">
            <w:pPr>
              <w:pStyle w:val="31"/>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25</w:t>
            </w:r>
            <w:r>
              <w:rPr>
                <w:rFonts w:ascii="宋体" w:hAnsi="宋体" w:eastAsia="宋体"/>
                <w:bCs/>
                <w:kern w:val="2"/>
              </w:rPr>
              <w:t>.1</w:t>
            </w:r>
          </w:p>
        </w:tc>
        <w:tc>
          <w:tcPr>
            <w:tcW w:w="1174" w:type="pct"/>
            <w:vAlign w:val="center"/>
          </w:tcPr>
          <w:p w14:paraId="09F3C780">
            <w:pPr>
              <w:pStyle w:val="30"/>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告知招标结果的形式</w:t>
            </w:r>
          </w:p>
        </w:tc>
        <w:tc>
          <w:tcPr>
            <w:tcW w:w="3245" w:type="pct"/>
            <w:vAlign w:val="center"/>
          </w:tcPr>
          <w:p w14:paraId="68392EEC">
            <w:pPr>
              <w:spacing w:line="360" w:lineRule="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sym w:font="Wingdings" w:char="00A8"/>
            </w:r>
            <w:r>
              <w:rPr>
                <w:rFonts w:hint="eastAsia" w:asciiTheme="minorEastAsia" w:hAnsiTheme="minorEastAsia" w:eastAsiaTheme="minorEastAsia"/>
                <w:kern w:val="0"/>
                <w:sz w:val="24"/>
                <w:szCs w:val="24"/>
              </w:rPr>
              <w:t>投标人自行登录官网查看</w:t>
            </w:r>
          </w:p>
          <w:p w14:paraId="74CA0120">
            <w:pPr>
              <w:pStyle w:val="60"/>
              <w:jc w:val="both"/>
              <w:rPr>
                <w:rFonts w:asciiTheme="minorEastAsia" w:hAnsiTheme="minorEastAsia" w:eastAsiaTheme="minorEastAsia"/>
                <w:b/>
                <w:bCs/>
                <w:kern w:val="2"/>
              </w:rPr>
            </w:pPr>
            <w:r>
              <w:rPr>
                <w:rFonts w:hint="eastAsia"/>
                <w:sz w:val="23"/>
                <w:szCs w:val="23"/>
              </w:rPr>
              <w:t>☑</w:t>
            </w:r>
            <w:r>
              <w:rPr>
                <w:rFonts w:hint="eastAsia" w:asciiTheme="minorEastAsia" w:hAnsiTheme="minorEastAsia" w:eastAsiaTheme="minorEastAsia"/>
                <w:b/>
                <w:bCs/>
                <w:kern w:val="2"/>
              </w:rPr>
              <w:t>评标现场告知</w:t>
            </w:r>
          </w:p>
        </w:tc>
      </w:tr>
      <w:tr w14:paraId="2E716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2A3C91D5">
            <w:pPr>
              <w:pStyle w:val="31"/>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26</w:t>
            </w:r>
            <w:r>
              <w:rPr>
                <w:rFonts w:ascii="宋体" w:hAnsi="宋体" w:eastAsia="宋体"/>
                <w:bCs/>
                <w:kern w:val="2"/>
              </w:rPr>
              <w:t>.1</w:t>
            </w:r>
          </w:p>
        </w:tc>
        <w:tc>
          <w:tcPr>
            <w:tcW w:w="1174" w:type="pct"/>
            <w:vAlign w:val="center"/>
          </w:tcPr>
          <w:p w14:paraId="70B35C43">
            <w:pPr>
              <w:pStyle w:val="30"/>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履约保证金</w:t>
            </w:r>
          </w:p>
        </w:tc>
        <w:tc>
          <w:tcPr>
            <w:tcW w:w="3245" w:type="pct"/>
          </w:tcPr>
          <w:p w14:paraId="2BE765E9">
            <w:pPr>
              <w:spacing w:line="360" w:lineRule="auto"/>
              <w:rPr>
                <w:rFonts w:ascii="宋体" w:hAnsi="宋体" w:eastAsia="宋体"/>
                <w:bCs/>
                <w:kern w:val="0"/>
                <w:sz w:val="24"/>
                <w:szCs w:val="28"/>
              </w:rPr>
            </w:pPr>
            <w:r>
              <w:rPr>
                <w:rFonts w:hint="eastAsia" w:ascii="宋体" w:hAnsi="宋体" w:eastAsia="宋体"/>
                <w:bCs/>
                <w:kern w:val="0"/>
                <w:sz w:val="24"/>
                <w:szCs w:val="28"/>
              </w:rPr>
              <w:t>（1）金额：</w:t>
            </w:r>
          </w:p>
          <w:p w14:paraId="673D60F3">
            <w:pPr>
              <w:pStyle w:val="60"/>
              <w:jc w:val="both"/>
              <w:rPr>
                <w:rFonts w:ascii="宋体" w:hAnsi="宋体" w:eastAsia="宋体"/>
                <w:bCs/>
                <w:szCs w:val="28"/>
              </w:rPr>
            </w:pPr>
            <w:r>
              <w:rPr>
                <w:rFonts w:hint="eastAsia" w:eastAsia="宋体"/>
                <w:sz w:val="23"/>
                <w:szCs w:val="23"/>
              </w:rPr>
              <w:t>□</w:t>
            </w:r>
            <w:r>
              <w:rPr>
                <w:rFonts w:hint="eastAsia" w:ascii="宋体" w:hAnsi="宋体" w:eastAsia="宋体"/>
                <w:bCs/>
                <w:szCs w:val="28"/>
              </w:rPr>
              <w:t>免收</w:t>
            </w:r>
          </w:p>
          <w:p w14:paraId="38BD4B28">
            <w:pPr>
              <w:spacing w:line="360" w:lineRule="auto"/>
              <w:rPr>
                <w:rFonts w:ascii="宋体" w:hAnsi="宋体" w:eastAsia="宋体"/>
                <w:bCs/>
                <w:kern w:val="0"/>
                <w:sz w:val="24"/>
                <w:szCs w:val="28"/>
              </w:rPr>
            </w:pPr>
            <w:r>
              <w:rPr>
                <w:rFonts w:ascii="宋体" w:hAnsi="宋体" w:eastAsia="宋体"/>
                <w:bCs/>
                <w:kern w:val="0"/>
                <w:sz w:val="24"/>
                <w:szCs w:val="28"/>
              </w:rPr>
              <w:t>□</w:t>
            </w:r>
            <w:r>
              <w:rPr>
                <w:rFonts w:hint="eastAsia" w:ascii="宋体" w:hAnsi="宋体" w:eastAsia="宋体"/>
                <w:bCs/>
                <w:kern w:val="0"/>
                <w:sz w:val="24"/>
                <w:szCs w:val="28"/>
              </w:rPr>
              <w:t>合同价的</w:t>
            </w:r>
            <w:r>
              <w:rPr>
                <w:rFonts w:ascii="宋体" w:hAnsi="宋体" w:eastAsia="宋体"/>
                <w:bCs/>
                <w:kern w:val="0"/>
                <w:sz w:val="24"/>
                <w:szCs w:val="28"/>
                <w:u w:val="single"/>
              </w:rPr>
              <w:t xml:space="preserve">   </w:t>
            </w:r>
            <w:r>
              <w:rPr>
                <w:rFonts w:ascii="宋体" w:hAnsi="宋体" w:eastAsia="宋体"/>
                <w:bCs/>
                <w:kern w:val="0"/>
                <w:sz w:val="24"/>
                <w:szCs w:val="28"/>
              </w:rPr>
              <w:t>%</w:t>
            </w:r>
          </w:p>
          <w:p w14:paraId="50F90131">
            <w:pPr>
              <w:spacing w:line="360" w:lineRule="auto"/>
              <w:rPr>
                <w:rFonts w:ascii="宋体" w:hAnsi="宋体" w:eastAsia="宋体"/>
                <w:bCs/>
                <w:kern w:val="0"/>
                <w:sz w:val="24"/>
                <w:szCs w:val="28"/>
              </w:rPr>
            </w:pPr>
            <w:r>
              <w:rPr>
                <w:rFonts w:hint="eastAsia" w:ascii="宋体" w:hAnsi="宋体" w:eastAsia="宋体"/>
                <w:bCs/>
                <w:kern w:val="0"/>
                <w:sz w:val="24"/>
                <w:szCs w:val="28"/>
              </w:rPr>
              <w:sym w:font="Wingdings" w:char="00FE"/>
            </w:r>
            <w:r>
              <w:rPr>
                <w:rFonts w:hint="eastAsia" w:ascii="宋体" w:hAnsi="宋体" w:eastAsia="宋体"/>
                <w:bCs/>
                <w:kern w:val="0"/>
                <w:sz w:val="24"/>
                <w:szCs w:val="28"/>
              </w:rPr>
              <w:t>定额收取：人民币</w:t>
            </w:r>
            <w:r>
              <w:rPr>
                <w:rFonts w:hint="eastAsia" w:ascii="宋体" w:hAnsi="宋体" w:eastAsia="宋体"/>
                <w:bCs/>
                <w:kern w:val="0"/>
                <w:sz w:val="24"/>
                <w:szCs w:val="28"/>
                <w:u w:val="single"/>
              </w:rPr>
              <w:t xml:space="preserve">    2000   </w:t>
            </w:r>
            <w:r>
              <w:rPr>
                <w:rFonts w:hint="eastAsia" w:ascii="宋体" w:hAnsi="宋体" w:eastAsia="宋体"/>
                <w:bCs/>
                <w:kern w:val="0"/>
                <w:sz w:val="24"/>
                <w:szCs w:val="28"/>
              </w:rPr>
              <w:t>元</w:t>
            </w:r>
          </w:p>
          <w:p w14:paraId="7BAF8F76">
            <w:pPr>
              <w:spacing w:line="360" w:lineRule="auto"/>
              <w:rPr>
                <w:rFonts w:ascii="宋体" w:hAnsi="宋体" w:eastAsia="宋体"/>
                <w:bCs/>
                <w:kern w:val="0"/>
                <w:sz w:val="24"/>
                <w:szCs w:val="28"/>
              </w:rPr>
            </w:pPr>
            <w:r>
              <w:rPr>
                <w:rFonts w:hint="eastAsia" w:ascii="宋体" w:hAnsi="宋体" w:eastAsia="宋体"/>
                <w:bCs/>
                <w:kern w:val="0"/>
                <w:sz w:val="24"/>
                <w:szCs w:val="28"/>
              </w:rPr>
              <w:t>（2）支付方式：</w:t>
            </w:r>
          </w:p>
          <w:p w14:paraId="191F99D5">
            <w:pPr>
              <w:spacing w:line="360" w:lineRule="auto"/>
              <w:rPr>
                <w:rFonts w:ascii="宋体" w:hAnsi="宋体" w:eastAsia="宋体"/>
                <w:bCs/>
                <w:kern w:val="0"/>
                <w:sz w:val="24"/>
                <w:szCs w:val="28"/>
              </w:rPr>
            </w:pPr>
            <w:r>
              <w:rPr>
                <w:rFonts w:hint="eastAsia" w:ascii="宋体" w:hAnsi="宋体" w:eastAsia="宋体"/>
                <w:bCs/>
                <w:kern w:val="0"/>
                <w:sz w:val="24"/>
                <w:szCs w:val="28"/>
              </w:rPr>
              <w:sym w:font="Wingdings" w:char="00FE"/>
            </w:r>
            <w:r>
              <w:rPr>
                <w:rFonts w:ascii="宋体" w:hAnsi="宋体" w:eastAsia="宋体"/>
                <w:bCs/>
                <w:kern w:val="0"/>
                <w:sz w:val="24"/>
                <w:szCs w:val="28"/>
              </w:rPr>
              <w:t>转账/电汇</w:t>
            </w:r>
            <w:r>
              <w:rPr>
                <w:rFonts w:hint="eastAsia" w:ascii="宋体" w:hAnsi="宋体" w:eastAsia="宋体"/>
                <w:bCs/>
                <w:kern w:val="0"/>
                <w:sz w:val="24"/>
                <w:szCs w:val="28"/>
              </w:rPr>
              <w:t xml:space="preserve"> </w:t>
            </w:r>
            <w:r>
              <w:rPr>
                <w:rFonts w:hint="eastAsia" w:ascii="宋体" w:hAnsi="宋体" w:eastAsia="宋体"/>
                <w:bCs/>
                <w:kern w:val="0"/>
                <w:sz w:val="24"/>
                <w:szCs w:val="28"/>
              </w:rPr>
              <w:sym w:font="Wingdings" w:char="00A8"/>
            </w:r>
            <w:r>
              <w:rPr>
                <w:rFonts w:ascii="宋体" w:hAnsi="宋体" w:eastAsia="宋体"/>
                <w:bCs/>
                <w:kern w:val="0"/>
                <w:sz w:val="24"/>
                <w:szCs w:val="28"/>
              </w:rPr>
              <w:t xml:space="preserve">支票 </w:t>
            </w:r>
            <w:r>
              <w:rPr>
                <w:rFonts w:hint="eastAsia" w:ascii="宋体" w:hAnsi="宋体" w:eastAsia="宋体"/>
                <w:bCs/>
                <w:kern w:val="0"/>
                <w:sz w:val="24"/>
                <w:szCs w:val="28"/>
              </w:rPr>
              <w:sym w:font="Wingdings" w:char="00A8"/>
            </w:r>
            <w:r>
              <w:rPr>
                <w:rFonts w:ascii="宋体" w:hAnsi="宋体" w:eastAsia="宋体"/>
                <w:bCs/>
                <w:kern w:val="0"/>
                <w:sz w:val="24"/>
                <w:szCs w:val="28"/>
              </w:rPr>
              <w:t>汇票</w:t>
            </w:r>
            <w:r>
              <w:rPr>
                <w:rFonts w:hint="eastAsia" w:ascii="宋体" w:hAnsi="宋体" w:eastAsia="宋体"/>
                <w:bCs/>
                <w:kern w:val="0"/>
                <w:sz w:val="24"/>
                <w:szCs w:val="28"/>
              </w:rPr>
              <w:t xml:space="preserve"> </w:t>
            </w:r>
            <w:r>
              <w:rPr>
                <w:rFonts w:hint="eastAsia" w:ascii="宋体" w:hAnsi="宋体" w:eastAsia="宋体"/>
                <w:bCs/>
                <w:kern w:val="0"/>
                <w:sz w:val="24"/>
                <w:szCs w:val="28"/>
              </w:rPr>
              <w:sym w:font="Wingdings" w:char="00A8"/>
            </w:r>
            <w:r>
              <w:rPr>
                <w:rFonts w:hint="eastAsia" w:ascii="宋体" w:hAnsi="宋体" w:eastAsia="宋体"/>
                <w:bCs/>
                <w:kern w:val="0"/>
                <w:sz w:val="24"/>
                <w:szCs w:val="28"/>
              </w:rPr>
              <w:t xml:space="preserve">本票 </w:t>
            </w:r>
            <w:r>
              <w:rPr>
                <w:rFonts w:hint="eastAsia" w:ascii="宋体" w:hAnsi="宋体" w:eastAsia="宋体"/>
                <w:bCs/>
                <w:kern w:val="0"/>
                <w:sz w:val="24"/>
                <w:szCs w:val="28"/>
              </w:rPr>
              <w:sym w:font="Wingdings" w:char="00A8"/>
            </w:r>
            <w:r>
              <w:rPr>
                <w:rFonts w:ascii="宋体" w:hAnsi="宋体" w:eastAsia="宋体"/>
                <w:bCs/>
                <w:kern w:val="0"/>
                <w:sz w:val="24"/>
                <w:szCs w:val="28"/>
              </w:rPr>
              <w:t>保</w:t>
            </w:r>
            <w:r>
              <w:rPr>
                <w:rFonts w:hint="eastAsia" w:ascii="宋体" w:hAnsi="宋体" w:eastAsia="宋体"/>
                <w:bCs/>
                <w:kern w:val="0"/>
                <w:sz w:val="24"/>
                <w:szCs w:val="28"/>
              </w:rPr>
              <w:t xml:space="preserve">险 </w:t>
            </w:r>
            <w:r>
              <w:rPr>
                <w:rFonts w:hint="eastAsia" w:ascii="宋体" w:hAnsi="宋体" w:eastAsia="宋体"/>
                <w:bCs/>
                <w:kern w:val="0"/>
                <w:sz w:val="24"/>
                <w:szCs w:val="28"/>
              </w:rPr>
              <w:sym w:font="Wingdings" w:char="00A8"/>
            </w:r>
            <w:r>
              <w:rPr>
                <w:rFonts w:hint="eastAsia" w:ascii="宋体" w:hAnsi="宋体" w:eastAsia="宋体"/>
                <w:bCs/>
                <w:kern w:val="0"/>
                <w:sz w:val="24"/>
                <w:szCs w:val="28"/>
              </w:rPr>
              <w:t>保</w:t>
            </w:r>
            <w:r>
              <w:rPr>
                <w:rFonts w:ascii="宋体" w:hAnsi="宋体" w:eastAsia="宋体"/>
                <w:bCs/>
                <w:kern w:val="0"/>
                <w:sz w:val="24"/>
                <w:szCs w:val="28"/>
              </w:rPr>
              <w:t>函</w:t>
            </w:r>
          </w:p>
          <w:p w14:paraId="6C5D2C82">
            <w:pPr>
              <w:spacing w:line="360" w:lineRule="auto"/>
              <w:rPr>
                <w:rFonts w:ascii="宋体" w:hAnsi="宋体" w:eastAsia="宋体"/>
                <w:bCs/>
                <w:kern w:val="0"/>
                <w:sz w:val="24"/>
                <w:szCs w:val="28"/>
              </w:rPr>
            </w:pPr>
            <w:r>
              <w:rPr>
                <w:rFonts w:hint="eastAsia" w:ascii="宋体" w:hAnsi="宋体" w:eastAsia="宋体"/>
                <w:bCs/>
                <w:kern w:val="0"/>
                <w:sz w:val="24"/>
                <w:szCs w:val="28"/>
              </w:rPr>
              <w:t>（3）收取单位：宁波</w:t>
            </w:r>
            <w:r>
              <w:rPr>
                <w:rFonts w:ascii="宋体" w:hAnsi="宋体" w:eastAsia="宋体"/>
                <w:bCs/>
                <w:kern w:val="0"/>
                <w:sz w:val="24"/>
                <w:szCs w:val="28"/>
              </w:rPr>
              <w:t>通商银行股份有限公司</w:t>
            </w:r>
            <w:r>
              <w:rPr>
                <w:rFonts w:hint="eastAsia" w:ascii="宋体" w:hAnsi="宋体" w:eastAsia="宋体"/>
                <w:bCs/>
                <w:kern w:val="0"/>
                <w:sz w:val="24"/>
                <w:szCs w:val="28"/>
              </w:rPr>
              <w:t xml:space="preserve">              </w:t>
            </w:r>
          </w:p>
          <w:p w14:paraId="4D8176E7">
            <w:pPr>
              <w:spacing w:line="360" w:lineRule="auto"/>
              <w:rPr>
                <w:rFonts w:ascii="宋体" w:hAnsi="宋体" w:eastAsia="宋体"/>
                <w:bCs/>
                <w:kern w:val="0"/>
                <w:sz w:val="24"/>
                <w:szCs w:val="28"/>
              </w:rPr>
            </w:pPr>
            <w:r>
              <w:rPr>
                <w:rFonts w:hint="eastAsia" w:ascii="宋体" w:hAnsi="宋体" w:eastAsia="宋体"/>
                <w:bCs/>
                <w:kern w:val="0"/>
                <w:sz w:val="24"/>
                <w:szCs w:val="28"/>
              </w:rPr>
              <w:t>（4）收取账号：</w:t>
            </w:r>
            <w:r>
              <w:rPr>
                <w:rFonts w:hint="eastAsia" w:ascii="宋体" w:hAnsi="宋体" w:eastAsia="宋体"/>
                <w:bCs/>
                <w:kern w:val="0"/>
                <w:sz w:val="24"/>
                <w:szCs w:val="28"/>
                <w:u w:val="single"/>
              </w:rPr>
              <w:t xml:space="preserve">              </w:t>
            </w:r>
          </w:p>
          <w:p w14:paraId="7ABB6989">
            <w:pPr>
              <w:spacing w:line="360" w:lineRule="auto"/>
              <w:rPr>
                <w:rFonts w:ascii="宋体" w:hAnsi="宋体" w:eastAsia="宋体"/>
                <w:sz w:val="24"/>
              </w:rPr>
            </w:pPr>
            <w:r>
              <w:rPr>
                <w:rFonts w:hint="eastAsia" w:ascii="宋体" w:hAnsi="宋体" w:eastAsia="宋体"/>
                <w:bCs/>
                <w:kern w:val="0"/>
                <w:sz w:val="24"/>
                <w:szCs w:val="28"/>
              </w:rPr>
              <w:t>（5）</w:t>
            </w:r>
            <w:r>
              <w:rPr>
                <w:rFonts w:hint="eastAsia" w:ascii="宋体" w:hAnsi="宋体" w:eastAsia="宋体"/>
                <w:sz w:val="24"/>
              </w:rPr>
              <w:t>退还时间：</w:t>
            </w:r>
            <w:r>
              <w:rPr>
                <w:rFonts w:hint="eastAsia" w:ascii="宋体" w:hAnsi="宋体" w:eastAsia="宋体"/>
                <w:sz w:val="24"/>
                <w:u w:val="single"/>
              </w:rPr>
              <w:t>完成银联验收及开卡测试验证</w:t>
            </w:r>
          </w:p>
          <w:p w14:paraId="02CCA303">
            <w:pPr>
              <w:spacing w:line="360" w:lineRule="auto"/>
              <w:rPr>
                <w:rFonts w:ascii="宋体" w:hAnsi="宋体" w:eastAsia="宋体"/>
                <w:b/>
                <w:bCs/>
                <w:kern w:val="0"/>
                <w:sz w:val="24"/>
                <w:szCs w:val="24"/>
              </w:rPr>
            </w:pPr>
            <w:r>
              <w:rPr>
                <w:rFonts w:hint="eastAsia" w:ascii="宋体" w:hAnsi="宋体" w:eastAsia="宋体"/>
                <w:b/>
                <w:bCs/>
                <w:kern w:val="0"/>
                <w:sz w:val="24"/>
                <w:szCs w:val="24"/>
              </w:rPr>
              <w:t>注意事项：</w:t>
            </w:r>
          </w:p>
          <w:p w14:paraId="7F964F7A">
            <w:pPr>
              <w:spacing w:line="360" w:lineRule="auto"/>
              <w:rPr>
                <w:rFonts w:ascii="宋体" w:hAnsi="宋体" w:eastAsia="宋体"/>
                <w:b/>
                <w:bCs/>
                <w:kern w:val="0"/>
                <w:sz w:val="24"/>
                <w:szCs w:val="24"/>
              </w:rPr>
            </w:pPr>
            <w:r>
              <w:rPr>
                <w:rFonts w:hint="eastAsia" w:ascii="宋体" w:hAnsi="宋体" w:eastAsia="宋体"/>
                <w:b/>
                <w:bCs/>
                <w:kern w:val="0"/>
                <w:sz w:val="24"/>
                <w:szCs w:val="24"/>
              </w:rPr>
              <w:t>（1）以上各类机构出具的以担保函、保证保险承担责任的方式均须满足无条件见索即付条件。</w:t>
            </w:r>
          </w:p>
          <w:p w14:paraId="4473EDAA">
            <w:pPr>
              <w:spacing w:line="360" w:lineRule="auto"/>
              <w:rPr>
                <w:rFonts w:ascii="宋体" w:hAnsi="宋体" w:eastAsia="宋体"/>
                <w:b/>
                <w:bCs/>
                <w:kern w:val="0"/>
                <w:sz w:val="24"/>
                <w:szCs w:val="24"/>
              </w:rPr>
            </w:pPr>
            <w:r>
              <w:rPr>
                <w:rFonts w:hint="eastAsia" w:ascii="宋体" w:hAnsi="宋体" w:eastAsia="宋体"/>
                <w:b/>
                <w:bCs/>
                <w:kern w:val="0"/>
                <w:sz w:val="24"/>
                <w:szCs w:val="24"/>
              </w:rPr>
              <w:t>（2）以担保函、保证保险形式缴纳履约保证金的，受益人和收取单位须为采购人。</w:t>
            </w:r>
          </w:p>
        </w:tc>
      </w:tr>
      <w:tr w14:paraId="352B1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4F23C97B">
            <w:pPr>
              <w:pStyle w:val="31"/>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27</w:t>
            </w:r>
            <w:r>
              <w:rPr>
                <w:rFonts w:ascii="宋体" w:hAnsi="宋体" w:eastAsia="宋体"/>
                <w:bCs/>
                <w:kern w:val="2"/>
              </w:rPr>
              <w:t>.1</w:t>
            </w:r>
          </w:p>
        </w:tc>
        <w:tc>
          <w:tcPr>
            <w:tcW w:w="1174" w:type="pct"/>
            <w:vAlign w:val="center"/>
          </w:tcPr>
          <w:p w14:paraId="2AF54608">
            <w:pPr>
              <w:pStyle w:val="30"/>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签订合同</w:t>
            </w:r>
          </w:p>
        </w:tc>
        <w:tc>
          <w:tcPr>
            <w:tcW w:w="3245" w:type="pct"/>
          </w:tcPr>
          <w:p w14:paraId="1E8C6C49">
            <w:pPr>
              <w:pStyle w:val="18"/>
              <w:widowControl/>
              <w:spacing w:before="0" w:beforeAutospacing="0" w:after="0" w:afterAutospacing="0" w:line="360" w:lineRule="auto"/>
              <w:rPr>
                <w:rFonts w:ascii="宋体" w:hAnsi="宋体" w:eastAsia="宋体" w:cs="宋体"/>
                <w:szCs w:val="24"/>
              </w:rPr>
            </w:pPr>
            <w:r>
              <w:rPr>
                <w:rFonts w:hint="eastAsia" w:ascii="宋体" w:hAnsi="宋体" w:eastAsia="宋体" w:cs="宋体"/>
                <w:szCs w:val="24"/>
              </w:rPr>
              <w:t>（1）采购人与成交供应商应当自发出成交通知书之日起</w:t>
            </w:r>
            <w:r>
              <w:rPr>
                <w:rFonts w:ascii="宋体" w:hAnsi="宋体" w:eastAsia="宋体" w:cs="宋体"/>
                <w:szCs w:val="24"/>
              </w:rPr>
              <w:t>30</w:t>
            </w:r>
            <w:r>
              <w:rPr>
                <w:rFonts w:hint="eastAsia" w:ascii="宋体" w:hAnsi="宋体" w:eastAsia="宋体" w:cs="宋体"/>
                <w:szCs w:val="24"/>
              </w:rPr>
              <w:t>个</w:t>
            </w:r>
            <w:r>
              <w:rPr>
                <w:rFonts w:ascii="宋体" w:hAnsi="宋体" w:eastAsia="宋体" w:cs="宋体"/>
                <w:szCs w:val="24"/>
              </w:rPr>
              <w:t>日历</w:t>
            </w:r>
            <w:r>
              <w:rPr>
                <w:rFonts w:hint="eastAsia" w:ascii="宋体" w:hAnsi="宋体" w:eastAsia="宋体" w:cs="宋体"/>
                <w:szCs w:val="24"/>
              </w:rPr>
              <w:t>日内签订合同。</w:t>
            </w:r>
          </w:p>
          <w:p w14:paraId="0C22FC06">
            <w:pPr>
              <w:pStyle w:val="18"/>
              <w:widowControl/>
              <w:spacing w:before="0" w:beforeAutospacing="0" w:after="0" w:afterAutospacing="0" w:line="360" w:lineRule="auto"/>
              <w:rPr>
                <w:rFonts w:ascii="宋体" w:hAnsi="宋体" w:eastAsia="宋体"/>
                <w:b/>
                <w:bCs/>
                <w:szCs w:val="24"/>
              </w:rPr>
            </w:pPr>
            <w:r>
              <w:rPr>
                <w:rFonts w:hint="eastAsia" w:ascii="宋体" w:hAnsi="宋体" w:eastAsia="宋体" w:cs="宋体"/>
                <w:szCs w:val="24"/>
              </w:rPr>
              <w:t>（2）采购人与成交供应商</w:t>
            </w:r>
            <w:r>
              <w:rPr>
                <w:rFonts w:ascii="宋体" w:hAnsi="宋体" w:eastAsia="宋体" w:cs="宋体"/>
                <w:szCs w:val="24"/>
              </w:rPr>
              <w:t>不得擅自变更合同，需变更采购合同内容的，采购人应当</w:t>
            </w:r>
            <w:r>
              <w:rPr>
                <w:rFonts w:hint="eastAsia" w:ascii="宋体" w:hAnsi="宋体" w:eastAsia="宋体" w:cs="宋体"/>
                <w:szCs w:val="24"/>
              </w:rPr>
              <w:t>办理合同变更</w:t>
            </w:r>
            <w:r>
              <w:rPr>
                <w:rFonts w:ascii="宋体" w:hAnsi="宋体" w:eastAsia="宋体" w:cs="宋体"/>
                <w:szCs w:val="24"/>
              </w:rPr>
              <w:t>审批手续。</w:t>
            </w:r>
          </w:p>
        </w:tc>
      </w:tr>
      <w:tr w14:paraId="02488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1B56232">
            <w:pPr>
              <w:pStyle w:val="31"/>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3</w:t>
            </w:r>
            <w:r>
              <w:rPr>
                <w:rFonts w:ascii="宋体" w:hAnsi="宋体" w:eastAsia="宋体"/>
                <w:bCs/>
                <w:kern w:val="2"/>
              </w:rPr>
              <w:t>0</w:t>
            </w:r>
          </w:p>
        </w:tc>
        <w:tc>
          <w:tcPr>
            <w:tcW w:w="1174" w:type="pct"/>
            <w:vAlign w:val="center"/>
          </w:tcPr>
          <w:p w14:paraId="3684FF6B">
            <w:pPr>
              <w:pStyle w:val="30"/>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其他内容</w:t>
            </w:r>
          </w:p>
        </w:tc>
        <w:tc>
          <w:tcPr>
            <w:tcW w:w="3245" w:type="pct"/>
            <w:vAlign w:val="center"/>
          </w:tcPr>
          <w:p w14:paraId="27476AE3">
            <w:pPr>
              <w:pStyle w:val="30"/>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1、解释权：</w:t>
            </w:r>
          </w:p>
          <w:p w14:paraId="79DC5716">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（1）</w:t>
            </w:r>
            <w:r>
              <w:rPr>
                <w:rFonts w:asciiTheme="minorEastAsia" w:hAnsiTheme="minorEastAsia" w:eastAsiaTheme="minorEastAsia"/>
                <w:bCs/>
                <w:sz w:val="24"/>
                <w:szCs w:val="24"/>
              </w:rPr>
              <w:t>构成本招标文件的各个组成文件应互为解释，互为说明；</w:t>
            </w:r>
          </w:p>
          <w:p w14:paraId="1505D1EB">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（2）</w:t>
            </w:r>
            <w:r>
              <w:rPr>
                <w:rFonts w:asciiTheme="minorEastAsia" w:hAnsiTheme="minorEastAsia" w:eastAsiaTheme="minorEastAsia"/>
                <w:bCs/>
                <w:sz w:val="24"/>
                <w:szCs w:val="24"/>
              </w:rPr>
              <w:t>同一组成文件中就同一事项的规定或约定不一致的，以编排顺序在后者为准；</w:t>
            </w:r>
          </w:p>
          <w:p w14:paraId="1B52DFA4">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（3）</w:t>
            </w:r>
            <w:r>
              <w:rPr>
                <w:rFonts w:asciiTheme="minorEastAsia" w:hAnsiTheme="minorEastAsia" w:eastAsiaTheme="minorEastAsia"/>
                <w:bCs/>
                <w:sz w:val="24"/>
                <w:szCs w:val="24"/>
              </w:rPr>
              <w:t>如有不明确或不一致，构成合同文件组成内容的，以合同文件约定内容为准，且以专用合同条款约定的合同文件优先顺序解释；</w:t>
            </w:r>
          </w:p>
          <w:p w14:paraId="555A640E">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（4）</w:t>
            </w:r>
            <w:r>
              <w:rPr>
                <w:rFonts w:asciiTheme="minorEastAsia" w:hAnsiTheme="minorEastAsia" w:eastAsiaTheme="minorEastAsia"/>
                <w:bCs/>
                <w:sz w:val="24"/>
                <w:szCs w:val="24"/>
              </w:rPr>
              <w:t>除招标文件中有特别规定外，仅适用于招标投标阶段的规定，按招标公告、投标人须知、评标</w:t>
            </w:r>
            <w:r>
              <w:rPr>
                <w:rFonts w:hint="eastAsia" w:asciiTheme="minorEastAsia" w:hAnsiTheme="minorEastAsia" w:eastAsiaTheme="minorEastAsia"/>
                <w:bCs/>
                <w:sz w:val="24"/>
                <w:szCs w:val="24"/>
              </w:rPr>
              <w:t>方</w:t>
            </w:r>
            <w:r>
              <w:rPr>
                <w:rFonts w:asciiTheme="minorEastAsia" w:hAnsiTheme="minorEastAsia" w:eastAsiaTheme="minorEastAsia"/>
                <w:bCs/>
                <w:sz w:val="24"/>
                <w:szCs w:val="24"/>
              </w:rPr>
              <w:t>法</w:t>
            </w:r>
            <w:r>
              <w:rPr>
                <w:rFonts w:hint="eastAsia" w:asciiTheme="minorEastAsia" w:hAnsiTheme="minorEastAsia" w:eastAsiaTheme="minorEastAsia"/>
                <w:bCs/>
                <w:sz w:val="24"/>
                <w:szCs w:val="24"/>
              </w:rPr>
              <w:t>和标准</w:t>
            </w:r>
            <w:r>
              <w:rPr>
                <w:rFonts w:asciiTheme="minorEastAsia" w:hAnsiTheme="minorEastAsia" w:eastAsiaTheme="minorEastAsia"/>
                <w:bCs/>
                <w:sz w:val="24"/>
                <w:szCs w:val="24"/>
              </w:rPr>
              <w:t>、投标文件格式的先后顺序解释；</w:t>
            </w:r>
          </w:p>
          <w:p w14:paraId="07BD3FE3">
            <w:pPr>
              <w:pStyle w:val="30"/>
              <w:widowControl w:val="0"/>
              <w:spacing w:before="0" w:beforeAutospacing="0" w:after="0" w:afterAutospacing="0" w:line="360" w:lineRule="auto"/>
              <w:jc w:val="both"/>
              <w:rPr>
                <w:rFonts w:asciiTheme="minorEastAsia" w:hAnsiTheme="minorEastAsia" w:eastAsiaTheme="minorEastAsia"/>
                <w:b w:val="0"/>
                <w:kern w:val="2"/>
                <w:sz w:val="24"/>
                <w:szCs w:val="24"/>
              </w:rPr>
            </w:pPr>
            <w:r>
              <w:rPr>
                <w:rFonts w:hint="eastAsia" w:asciiTheme="minorEastAsia" w:hAnsiTheme="minorEastAsia" w:eastAsiaTheme="minorEastAsia"/>
                <w:b w:val="0"/>
                <w:kern w:val="2"/>
                <w:sz w:val="24"/>
                <w:szCs w:val="24"/>
              </w:rPr>
              <w:t>（5）</w:t>
            </w:r>
            <w:r>
              <w:rPr>
                <w:rFonts w:asciiTheme="minorEastAsia" w:hAnsiTheme="minorEastAsia" w:eastAsiaTheme="minorEastAsia"/>
                <w:b w:val="0"/>
                <w:kern w:val="2"/>
                <w:sz w:val="24"/>
                <w:szCs w:val="24"/>
              </w:rPr>
              <w:t>按本款前述规定仍不能形成结论的，由</w:t>
            </w:r>
            <w:r>
              <w:rPr>
                <w:rFonts w:hint="eastAsia" w:asciiTheme="minorEastAsia" w:hAnsiTheme="minorEastAsia" w:eastAsiaTheme="minorEastAsia"/>
                <w:b w:val="0"/>
                <w:kern w:val="2"/>
                <w:sz w:val="24"/>
                <w:szCs w:val="24"/>
              </w:rPr>
              <w:t>采购</w:t>
            </w:r>
            <w:r>
              <w:rPr>
                <w:rFonts w:asciiTheme="minorEastAsia" w:hAnsiTheme="minorEastAsia" w:eastAsiaTheme="minorEastAsia"/>
                <w:b w:val="0"/>
                <w:kern w:val="2"/>
                <w:sz w:val="24"/>
                <w:szCs w:val="24"/>
              </w:rPr>
              <w:t>人负责解释。</w:t>
            </w:r>
          </w:p>
        </w:tc>
      </w:tr>
    </w:tbl>
    <w:p w14:paraId="34C6543C">
      <w:pPr>
        <w:spacing w:line="360" w:lineRule="auto"/>
        <w:jc w:val="center"/>
        <w:outlineLvl w:val="1"/>
        <w:rPr>
          <w:rFonts w:asciiTheme="minorEastAsia" w:hAnsiTheme="minorEastAsia" w:eastAsiaTheme="minorEastAsia"/>
          <w:b/>
          <w:sz w:val="24"/>
        </w:rPr>
      </w:pPr>
      <w:r>
        <w:rPr>
          <w:rFonts w:asciiTheme="minorEastAsia" w:hAnsiTheme="minorEastAsia" w:eastAsiaTheme="minorEastAsia"/>
          <w:b/>
          <w:sz w:val="28"/>
        </w:rPr>
        <w:br w:type="page"/>
      </w:r>
      <w:bookmarkStart w:id="20" w:name="_Toc24882"/>
      <w:bookmarkStart w:id="21" w:name="_Toc14880"/>
      <w:r>
        <w:rPr>
          <w:rFonts w:hint="eastAsia" w:asciiTheme="minorEastAsia" w:hAnsiTheme="minorEastAsia" w:eastAsiaTheme="minorEastAsia"/>
          <w:b/>
          <w:sz w:val="24"/>
          <w:szCs w:val="24"/>
        </w:rPr>
        <w:t>二、</w:t>
      </w:r>
      <w:r>
        <w:rPr>
          <w:rFonts w:asciiTheme="minorEastAsia" w:hAnsiTheme="minorEastAsia" w:eastAsiaTheme="minorEastAsia"/>
          <w:b/>
          <w:sz w:val="24"/>
          <w:szCs w:val="24"/>
        </w:rPr>
        <w:t>投标人须知</w:t>
      </w:r>
      <w:r>
        <w:rPr>
          <w:rFonts w:hint="eastAsia" w:asciiTheme="minorEastAsia" w:hAnsiTheme="minorEastAsia" w:eastAsiaTheme="minorEastAsia"/>
          <w:b/>
          <w:sz w:val="24"/>
          <w:szCs w:val="24"/>
        </w:rPr>
        <w:t>正文</w:t>
      </w:r>
      <w:bookmarkEnd w:id="20"/>
      <w:bookmarkEnd w:id="21"/>
    </w:p>
    <w:p w14:paraId="379A532C">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1.采购人及投标人</w:t>
      </w:r>
    </w:p>
    <w:p w14:paraId="36759381">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.1采购人：</w:t>
      </w:r>
      <w:r>
        <w:rPr>
          <w:rFonts w:hint="eastAsia" w:ascii="宋体" w:hAnsi="宋体" w:eastAsia="宋体"/>
          <w:sz w:val="24"/>
        </w:rPr>
        <w:t>见</w:t>
      </w:r>
      <w:r>
        <w:rPr>
          <w:rFonts w:asciiTheme="minorEastAsia" w:hAnsiTheme="minorEastAsia" w:eastAsiaTheme="minorEastAsia"/>
          <w:sz w:val="24"/>
        </w:rPr>
        <w:t>投标人须知前附表。</w:t>
      </w:r>
    </w:p>
    <w:p w14:paraId="57A89181">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.2投标人：是指向采购人提供货物、工程或者服务的法人、</w:t>
      </w:r>
      <w:r>
        <w:rPr>
          <w:rFonts w:hint="eastAsia" w:ascii="宋体" w:hAnsi="宋体" w:eastAsia="宋体"/>
          <w:sz w:val="24"/>
        </w:rPr>
        <w:t>其他</w:t>
      </w:r>
      <w:r>
        <w:rPr>
          <w:rFonts w:ascii="宋体" w:hAnsi="宋体" w:eastAsia="宋体"/>
          <w:sz w:val="24"/>
        </w:rPr>
        <w:t>组织。</w:t>
      </w:r>
      <w:r>
        <w:rPr>
          <w:rFonts w:hint="eastAsia" w:ascii="宋体" w:hAnsi="宋体" w:eastAsia="宋体"/>
          <w:sz w:val="24"/>
        </w:rPr>
        <w:t>分支机构不得参加采购活动，但银行、保险、石油石化、电力、电信等特殊行业除外。</w:t>
      </w:r>
      <w:r>
        <w:rPr>
          <w:rFonts w:ascii="宋体" w:hAnsi="宋体" w:eastAsia="宋体"/>
          <w:sz w:val="24"/>
        </w:rPr>
        <w:t>本项目的投标人须满足以下条件：</w:t>
      </w:r>
    </w:p>
    <w:p w14:paraId="78E2F34D">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2.</w:t>
      </w:r>
      <w:r>
        <w:rPr>
          <w:rFonts w:hint="eastAsia" w:ascii="宋体" w:hAnsi="宋体" w:eastAsia="宋体"/>
          <w:sz w:val="24"/>
        </w:rPr>
        <w:t>1</w:t>
      </w:r>
      <w:r>
        <w:rPr>
          <w:rFonts w:ascii="宋体" w:hAnsi="宋体" w:eastAsia="宋体"/>
          <w:sz w:val="24"/>
        </w:rPr>
        <w:t>具备《中华人民共和国政府采购法》第二十二条关于供应商条件的规定，遵守本项目采购人的有关规定。</w:t>
      </w:r>
    </w:p>
    <w:p w14:paraId="359CD153">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2.</w:t>
      </w:r>
      <w:r>
        <w:rPr>
          <w:rFonts w:hint="eastAsia" w:ascii="宋体" w:hAnsi="宋体" w:eastAsia="宋体"/>
          <w:sz w:val="24"/>
        </w:rPr>
        <w:t>2</w:t>
      </w:r>
      <w:r>
        <w:rPr>
          <w:rFonts w:ascii="宋体" w:hAnsi="宋体" w:eastAsia="宋体"/>
          <w:sz w:val="24"/>
        </w:rPr>
        <w:t>以采购</w:t>
      </w:r>
      <w:r>
        <w:rPr>
          <w:rFonts w:hint="eastAsia" w:ascii="宋体" w:hAnsi="宋体" w:eastAsia="宋体"/>
          <w:sz w:val="24"/>
        </w:rPr>
        <w:t>人</w:t>
      </w:r>
      <w:r>
        <w:rPr>
          <w:rFonts w:ascii="宋体" w:hAnsi="宋体" w:eastAsia="宋体"/>
          <w:sz w:val="24"/>
        </w:rPr>
        <w:t>认可的方式获得了本项目的招标文件。</w:t>
      </w:r>
    </w:p>
    <w:p w14:paraId="5C173CD6">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2.3若</w:t>
      </w:r>
      <w:r>
        <w:rPr>
          <w:rFonts w:hint="eastAsia" w:ascii="宋体" w:hAnsi="宋体" w:eastAsia="宋体"/>
          <w:sz w:val="24"/>
        </w:rPr>
        <w:t>采购需求</w:t>
      </w:r>
      <w:r>
        <w:rPr>
          <w:rFonts w:ascii="宋体" w:hAnsi="宋体" w:eastAsia="宋体"/>
          <w:sz w:val="24"/>
        </w:rPr>
        <w:t>中写明允许采购进口产品，投标人应保证所投产品可履行合法报通关手续进入中国关境内。</w:t>
      </w:r>
    </w:p>
    <w:p w14:paraId="0285B5DD">
      <w:pPr>
        <w:spacing w:line="360" w:lineRule="auto"/>
        <w:ind w:firstLine="435"/>
        <w:rPr>
          <w:rFonts w:ascii="宋体" w:hAnsi="宋体" w:eastAsia="宋体"/>
          <w:sz w:val="24"/>
        </w:rPr>
      </w:pPr>
      <w:r>
        <w:rPr>
          <w:rFonts w:hint="eastAsia" w:ascii="宋体" w:hAnsi="宋体" w:eastAsia="宋体"/>
          <w:sz w:val="24"/>
        </w:rPr>
        <w:t>若采购需求中未写明允许采购进口产品，如投标人所投产品为进口产品，其投标将被认定为</w:t>
      </w:r>
      <w:r>
        <w:rPr>
          <w:rFonts w:hint="eastAsia" w:ascii="宋体" w:hAnsi="宋体" w:eastAsia="宋体"/>
          <w:b/>
          <w:sz w:val="24"/>
        </w:rPr>
        <w:t>投标无效</w:t>
      </w:r>
      <w:r>
        <w:rPr>
          <w:rFonts w:hint="eastAsia" w:ascii="宋体" w:hAnsi="宋体" w:eastAsia="宋体"/>
          <w:sz w:val="24"/>
        </w:rPr>
        <w:t>。</w:t>
      </w:r>
    </w:p>
    <w:p w14:paraId="5E9E83C6">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3</w:t>
      </w:r>
      <w:r>
        <w:rPr>
          <w:rFonts w:hint="eastAsia" w:ascii="宋体" w:hAnsi="宋体" w:eastAsia="宋体"/>
          <w:sz w:val="24"/>
        </w:rPr>
        <w:t>若招标公告</w:t>
      </w:r>
      <w:r>
        <w:rPr>
          <w:rFonts w:ascii="宋体" w:hAnsi="宋体" w:eastAsia="宋体"/>
          <w:sz w:val="24"/>
        </w:rPr>
        <w:t>中允许联合体投标，对联合体规定如下：</w:t>
      </w:r>
    </w:p>
    <w:p w14:paraId="02322E62">
      <w:pPr>
        <w:spacing w:line="360" w:lineRule="auto"/>
        <w:ind w:firstLine="480" w:firstLineChars="200"/>
        <w:rPr>
          <w:rFonts w:ascii="宋体" w:hAnsi="宋体" w:eastAsia="宋体"/>
          <w:sz w:val="24"/>
        </w:rPr>
      </w:pPr>
      <w:r>
        <w:rPr>
          <w:rFonts w:hint="eastAsia" w:ascii="宋体" w:hAnsi="宋体" w:eastAsia="宋体"/>
          <w:sz w:val="24"/>
        </w:rPr>
        <w:t>1.</w:t>
      </w:r>
      <w:r>
        <w:rPr>
          <w:rFonts w:ascii="宋体" w:hAnsi="宋体" w:eastAsia="宋体"/>
          <w:sz w:val="24"/>
        </w:rPr>
        <w:t>3.1两个以上供应商可以组成一个投标联合体，以一个投标人的身份投标。联合体投标的，</w:t>
      </w:r>
      <w:r>
        <w:rPr>
          <w:rFonts w:hint="eastAsia" w:ascii="宋体" w:hAnsi="宋体" w:eastAsia="宋体"/>
          <w:sz w:val="24"/>
        </w:rPr>
        <w:t>招标文件获取</w:t>
      </w:r>
      <w:r>
        <w:rPr>
          <w:rFonts w:ascii="宋体" w:hAnsi="宋体" w:eastAsia="宋体"/>
          <w:sz w:val="24"/>
        </w:rPr>
        <w:t>手续由联合体</w:t>
      </w:r>
      <w:r>
        <w:rPr>
          <w:rFonts w:hint="eastAsia" w:ascii="宋体" w:hAnsi="宋体" w:eastAsia="宋体"/>
          <w:sz w:val="24"/>
        </w:rPr>
        <w:t>中</w:t>
      </w:r>
      <w:r>
        <w:rPr>
          <w:rFonts w:ascii="宋体" w:hAnsi="宋体" w:eastAsia="宋体"/>
          <w:sz w:val="24"/>
        </w:rPr>
        <w:t>任</w:t>
      </w:r>
      <w:r>
        <w:rPr>
          <w:rFonts w:hint="eastAsia" w:ascii="宋体" w:hAnsi="宋体" w:eastAsia="宋体"/>
          <w:sz w:val="24"/>
        </w:rPr>
        <w:t>一成员单位</w:t>
      </w:r>
      <w:r>
        <w:rPr>
          <w:rFonts w:ascii="宋体" w:hAnsi="宋体" w:eastAsia="宋体"/>
          <w:sz w:val="24"/>
        </w:rPr>
        <w:t>办理均可。</w:t>
      </w:r>
    </w:p>
    <w:p w14:paraId="5A2A1BD9">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3.2联合体各方均应符合《中华人民共和国政府采购法》第二十二条规定的条件。</w:t>
      </w:r>
    </w:p>
    <w:p w14:paraId="1C7B4128">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3.3采购人根据采购项目对投标人的特殊要求，联合体中至少应当有一方符合相关规定。</w:t>
      </w:r>
    </w:p>
    <w:p w14:paraId="3F7F6689">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3.4联合体各方应签订</w:t>
      </w:r>
      <w:r>
        <w:rPr>
          <w:rFonts w:hint="eastAsia" w:ascii="宋体" w:hAnsi="宋体" w:eastAsia="宋体"/>
          <w:sz w:val="24"/>
        </w:rPr>
        <w:t>联合协议</w:t>
      </w:r>
      <w:r>
        <w:rPr>
          <w:rFonts w:ascii="宋体" w:hAnsi="宋体" w:eastAsia="宋体"/>
          <w:sz w:val="24"/>
        </w:rPr>
        <w:t>，明确约定联合体各方承担的工作和相应的责任，并将</w:t>
      </w:r>
      <w:r>
        <w:rPr>
          <w:rFonts w:hint="eastAsia" w:ascii="宋体" w:hAnsi="宋体" w:eastAsia="宋体"/>
          <w:sz w:val="24"/>
        </w:rPr>
        <w:t>联合协议</w:t>
      </w:r>
      <w:r>
        <w:rPr>
          <w:rFonts w:ascii="宋体" w:hAnsi="宋体" w:eastAsia="宋体"/>
          <w:sz w:val="24"/>
        </w:rPr>
        <w:t>作为投标文件</w:t>
      </w:r>
      <w:r>
        <w:rPr>
          <w:rFonts w:hint="eastAsia" w:ascii="宋体" w:hAnsi="宋体" w:eastAsia="宋体"/>
          <w:sz w:val="24"/>
        </w:rPr>
        <w:t>的</w:t>
      </w:r>
      <w:r>
        <w:rPr>
          <w:rFonts w:ascii="宋体" w:hAnsi="宋体" w:eastAsia="宋体"/>
          <w:sz w:val="24"/>
        </w:rPr>
        <w:t>一部分提交。</w:t>
      </w:r>
    </w:p>
    <w:p w14:paraId="158D68CB">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w:t>
      </w:r>
      <w:r>
        <w:rPr>
          <w:rFonts w:asciiTheme="minorEastAsia" w:hAnsiTheme="minorEastAsia" w:eastAsiaTheme="minorEastAsia"/>
          <w:sz w:val="24"/>
        </w:rPr>
        <w:t>3.5对联合体的其他资格要求</w:t>
      </w:r>
      <w:r>
        <w:rPr>
          <w:rFonts w:ascii="宋体" w:hAnsi="宋体" w:eastAsia="宋体"/>
          <w:sz w:val="24"/>
        </w:rPr>
        <w:t>见</w:t>
      </w:r>
      <w:r>
        <w:rPr>
          <w:rFonts w:hint="eastAsia" w:ascii="宋体" w:hAnsi="宋体" w:eastAsia="宋体"/>
          <w:sz w:val="24"/>
        </w:rPr>
        <w:t>申请人的资格要求</w:t>
      </w:r>
      <w:r>
        <w:rPr>
          <w:rFonts w:asciiTheme="minorEastAsia" w:hAnsiTheme="minorEastAsia" w:eastAsiaTheme="minorEastAsia"/>
          <w:sz w:val="24"/>
        </w:rPr>
        <w:t>。</w:t>
      </w:r>
    </w:p>
    <w:p w14:paraId="6CF9F11C">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2.资金落实情况</w:t>
      </w:r>
    </w:p>
    <w:p w14:paraId="4BA3B64F">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.1</w:t>
      </w:r>
      <w:r>
        <w:rPr>
          <w:rFonts w:hint="eastAsia" w:asciiTheme="minorEastAsia" w:hAnsiTheme="minorEastAsia" w:eastAsiaTheme="minorEastAsia"/>
          <w:sz w:val="24"/>
        </w:rPr>
        <w:t>本</w:t>
      </w:r>
      <w:r>
        <w:rPr>
          <w:rFonts w:hint="eastAsia" w:ascii="宋体" w:hAnsi="宋体" w:eastAsia="宋体"/>
          <w:sz w:val="24"/>
        </w:rPr>
        <w:t>项目</w:t>
      </w:r>
      <w:r>
        <w:rPr>
          <w:rFonts w:hint="eastAsia" w:asciiTheme="minorEastAsia" w:hAnsiTheme="minorEastAsia" w:eastAsiaTheme="minorEastAsia"/>
          <w:sz w:val="24"/>
        </w:rPr>
        <w:t>的采购人已获得足以支付本次招标后所签订的合同项下的资金。</w:t>
      </w:r>
    </w:p>
    <w:p w14:paraId="6295C758">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3.投标费用</w:t>
      </w:r>
    </w:p>
    <w:p w14:paraId="270D6239">
      <w:pPr>
        <w:spacing w:line="360" w:lineRule="auto"/>
        <w:ind w:firstLine="435"/>
        <w:rPr>
          <w:rFonts w:ascii="宋体" w:hAnsi="宋体" w:eastAsia="宋体"/>
          <w:sz w:val="24"/>
        </w:rPr>
      </w:pPr>
      <w:r>
        <w:rPr>
          <w:rFonts w:hint="eastAsia" w:ascii="宋体" w:hAnsi="宋体" w:eastAsia="宋体"/>
          <w:sz w:val="24"/>
        </w:rPr>
        <w:t>不论投标的结果如何，投标人应承担所有与准备和参加投标有关的费用。</w:t>
      </w:r>
    </w:p>
    <w:p w14:paraId="477DE3B9">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4.适用法律</w:t>
      </w:r>
    </w:p>
    <w:p w14:paraId="439600D4">
      <w:pPr>
        <w:spacing w:line="360" w:lineRule="auto"/>
        <w:ind w:firstLine="435"/>
        <w:rPr>
          <w:rFonts w:asciiTheme="minorEastAsia" w:hAnsiTheme="minorEastAsia" w:eastAsiaTheme="minorEastAsia"/>
          <w:b/>
          <w:sz w:val="24"/>
        </w:rPr>
      </w:pPr>
      <w:r>
        <w:rPr>
          <w:rFonts w:hint="eastAsia" w:ascii="宋体" w:hAnsi="宋体" w:eastAsia="宋体"/>
          <w:sz w:val="24"/>
        </w:rPr>
        <w:t>本项目采购人投标人、评标委员会的相关行为均受《中华人民共和国政府采购法》《中华人民共和国政府采购法实施条例》</w:t>
      </w:r>
      <w:r>
        <w:rPr>
          <w:rFonts w:hint="eastAsia" w:asciiTheme="minorEastAsia" w:hAnsiTheme="minorEastAsia" w:eastAsiaTheme="minorEastAsia"/>
          <w:sz w:val="24"/>
        </w:rPr>
        <w:t>等采购有关规定的约束</w:t>
      </w:r>
      <w:r>
        <w:rPr>
          <w:rFonts w:hint="eastAsia" w:ascii="宋体" w:hAnsi="宋体" w:eastAsia="宋体"/>
          <w:sz w:val="24"/>
        </w:rPr>
        <w:t>，其权利受到上述法律法规的保护。</w:t>
      </w:r>
    </w:p>
    <w:p w14:paraId="6CAAAFF0">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5.招标文件构成</w:t>
      </w:r>
    </w:p>
    <w:p w14:paraId="6B2C6BBE">
      <w:pPr>
        <w:spacing w:line="360" w:lineRule="auto"/>
        <w:ind w:firstLine="435"/>
        <w:rPr>
          <w:rFonts w:ascii="宋体" w:hAnsi="宋体" w:eastAsia="宋体"/>
          <w:sz w:val="24"/>
        </w:rPr>
      </w:pPr>
      <w:r>
        <w:rPr>
          <w:rFonts w:hint="eastAsia" w:ascii="宋体" w:hAnsi="宋体" w:eastAsia="宋体"/>
          <w:sz w:val="24"/>
        </w:rPr>
        <w:t>5.1招标文件包括下列内容：</w:t>
      </w:r>
    </w:p>
    <w:p w14:paraId="222E450C">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第一章</w:t>
      </w:r>
      <w:r>
        <w:rPr>
          <w:rFonts w:asciiTheme="minorEastAsia" w:hAnsiTheme="minorEastAsia" w:eastAsiaTheme="minorEastAsia"/>
          <w:sz w:val="24"/>
        </w:rPr>
        <w:t xml:space="preserve">  招标公告</w:t>
      </w:r>
    </w:p>
    <w:p w14:paraId="641B9BEC">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第二章</w:t>
      </w:r>
      <w:r>
        <w:rPr>
          <w:rFonts w:asciiTheme="minorEastAsia" w:hAnsiTheme="minorEastAsia" w:eastAsiaTheme="minorEastAsia"/>
          <w:sz w:val="24"/>
        </w:rPr>
        <w:t xml:space="preserve">  投标人须知</w:t>
      </w:r>
    </w:p>
    <w:p w14:paraId="1239A047">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第三章</w:t>
      </w:r>
      <w:r>
        <w:rPr>
          <w:rFonts w:asciiTheme="minorEastAsia" w:hAnsiTheme="minorEastAsia" w:eastAsiaTheme="minorEastAsia"/>
          <w:sz w:val="24"/>
        </w:rPr>
        <w:t xml:space="preserve">  采购需求</w:t>
      </w:r>
    </w:p>
    <w:p w14:paraId="47C67AB7">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第四章</w:t>
      </w:r>
      <w:r>
        <w:rPr>
          <w:rFonts w:asciiTheme="minorEastAsia" w:hAnsiTheme="minorEastAsia" w:eastAsiaTheme="minorEastAsia"/>
          <w:sz w:val="24"/>
        </w:rPr>
        <w:t xml:space="preserve">  评标</w:t>
      </w:r>
      <w:r>
        <w:rPr>
          <w:rFonts w:hint="eastAsia" w:asciiTheme="minorEastAsia" w:hAnsiTheme="minorEastAsia" w:eastAsiaTheme="minorEastAsia"/>
          <w:sz w:val="24"/>
        </w:rPr>
        <w:t>方法</w:t>
      </w:r>
      <w:r>
        <w:rPr>
          <w:rFonts w:asciiTheme="minorEastAsia" w:hAnsiTheme="minorEastAsia" w:eastAsiaTheme="minorEastAsia"/>
          <w:sz w:val="24"/>
        </w:rPr>
        <w:t>和标准</w:t>
      </w:r>
    </w:p>
    <w:p w14:paraId="245E9DCB">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第五章</w:t>
      </w:r>
      <w:r>
        <w:rPr>
          <w:rFonts w:asciiTheme="minorEastAsia" w:hAnsiTheme="minorEastAsia" w:eastAsiaTheme="minorEastAsia"/>
          <w:sz w:val="24"/>
        </w:rPr>
        <w:t xml:space="preserve">  采购合同</w:t>
      </w:r>
    </w:p>
    <w:p w14:paraId="5CD82A05">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第六章</w:t>
      </w:r>
      <w:r>
        <w:rPr>
          <w:rFonts w:asciiTheme="minorEastAsia" w:hAnsiTheme="minorEastAsia" w:eastAsiaTheme="minorEastAsia"/>
          <w:sz w:val="24"/>
        </w:rPr>
        <w:t xml:space="preserve">  投标文件格式</w:t>
      </w:r>
    </w:p>
    <w:p w14:paraId="6BD0E146">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现场</w:t>
      </w:r>
      <w:r>
        <w:rPr>
          <w:rFonts w:hint="eastAsia" w:asciiTheme="minorEastAsia" w:hAnsiTheme="minorEastAsia" w:eastAsiaTheme="minorEastAsia"/>
          <w:sz w:val="24"/>
        </w:rPr>
        <w:t>考察（标前答疑会）</w:t>
      </w:r>
      <w:r>
        <w:rPr>
          <w:rFonts w:asciiTheme="minorEastAsia" w:hAnsiTheme="minorEastAsia" w:eastAsiaTheme="minorEastAsia"/>
          <w:sz w:val="24"/>
        </w:rPr>
        <w:t>及相关事项见</w:t>
      </w:r>
      <w:r>
        <w:rPr>
          <w:rFonts w:asciiTheme="minorEastAsia" w:hAnsiTheme="minorEastAsia" w:eastAsiaTheme="minorEastAsia"/>
          <w:sz w:val="24"/>
          <w:u w:val="single"/>
        </w:rPr>
        <w:t>投标</w:t>
      </w:r>
      <w:r>
        <w:rPr>
          <w:rFonts w:hint="eastAsia" w:asciiTheme="minorEastAsia" w:hAnsiTheme="minorEastAsia" w:eastAsiaTheme="minorEastAsia"/>
          <w:sz w:val="24"/>
          <w:u w:val="single"/>
        </w:rPr>
        <w:t>人</w:t>
      </w:r>
      <w:r>
        <w:rPr>
          <w:rFonts w:asciiTheme="minorEastAsia" w:hAnsiTheme="minorEastAsia" w:eastAsiaTheme="minorEastAsia"/>
          <w:sz w:val="24"/>
          <w:u w:val="single"/>
        </w:rPr>
        <w:t>须知前附表</w:t>
      </w:r>
      <w:r>
        <w:rPr>
          <w:rFonts w:asciiTheme="minorEastAsia" w:hAnsiTheme="minorEastAsia" w:eastAsiaTheme="minorEastAsia"/>
          <w:sz w:val="24"/>
        </w:rPr>
        <w:t>。</w:t>
      </w:r>
    </w:p>
    <w:p w14:paraId="475F2401">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3</w:t>
      </w:r>
      <w:r>
        <w:rPr>
          <w:rFonts w:asciiTheme="minorEastAsia" w:hAnsiTheme="minorEastAsia" w:eastAsiaTheme="minorEastAsia"/>
          <w:sz w:val="24"/>
        </w:rPr>
        <w:t>原则上采购人不要求投标人提供样品。仅凭书面方式不能准确描述采购需求，或者需要对样品进行主观判断以确认是否满足采购需求等特殊情况除外。</w:t>
      </w:r>
    </w:p>
    <w:p w14:paraId="27F511A8">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如需提供样品，对样品相关要求见</w:t>
      </w:r>
      <w:r>
        <w:rPr>
          <w:rFonts w:hint="eastAsia" w:asciiTheme="minorEastAsia" w:hAnsiTheme="minorEastAsia" w:eastAsiaTheme="minorEastAsia"/>
          <w:sz w:val="24"/>
        </w:rPr>
        <w:t>采购需求</w:t>
      </w:r>
      <w:r>
        <w:rPr>
          <w:rFonts w:asciiTheme="minorEastAsia" w:hAnsiTheme="minorEastAsia" w:eastAsiaTheme="minorEastAsia"/>
          <w:sz w:val="24"/>
        </w:rPr>
        <w:t>，对样品的评审方法及评审标准见招标文件第</w:t>
      </w:r>
      <w:r>
        <w:rPr>
          <w:rFonts w:hint="eastAsia" w:asciiTheme="minorEastAsia" w:hAnsiTheme="minorEastAsia" w:eastAsiaTheme="minorEastAsia"/>
          <w:sz w:val="24"/>
        </w:rPr>
        <w:t>四</w:t>
      </w:r>
      <w:r>
        <w:rPr>
          <w:rFonts w:asciiTheme="minorEastAsia" w:hAnsiTheme="minorEastAsia" w:eastAsiaTheme="minorEastAsia"/>
          <w:sz w:val="24"/>
        </w:rPr>
        <w:t>章。</w:t>
      </w:r>
    </w:p>
    <w:p w14:paraId="7FB324F5">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投标人应认真阅读招标文件所有的事项、格式、条款和技术规范等。</w:t>
      </w:r>
    </w:p>
    <w:p w14:paraId="169DBD6C">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6.招标文件的澄清与修改</w:t>
      </w:r>
    </w:p>
    <w:p w14:paraId="3C7899CC">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6</w:t>
      </w:r>
      <w:r>
        <w:rPr>
          <w:rFonts w:asciiTheme="minorEastAsia" w:hAnsiTheme="minorEastAsia" w:eastAsiaTheme="minorEastAsia"/>
          <w:sz w:val="24"/>
        </w:rPr>
        <w:t>.</w:t>
      </w:r>
      <w:r>
        <w:rPr>
          <w:rFonts w:hint="eastAsia" w:asciiTheme="minorEastAsia" w:hAnsiTheme="minorEastAsia" w:eastAsiaTheme="minorEastAsia"/>
          <w:sz w:val="24"/>
        </w:rPr>
        <w:t>1</w:t>
      </w:r>
      <w:r>
        <w:rPr>
          <w:rFonts w:asciiTheme="minorEastAsia" w:hAnsiTheme="minorEastAsia" w:eastAsiaTheme="minorEastAsia"/>
          <w:sz w:val="24"/>
        </w:rPr>
        <w:t>供应商如对询价通知书内容有疑问，</w:t>
      </w:r>
      <w:r>
        <w:rPr>
          <w:rFonts w:hint="eastAsia" w:asciiTheme="minorEastAsia" w:hAnsiTheme="minorEastAsia" w:eastAsiaTheme="minorEastAsia"/>
          <w:sz w:val="24"/>
        </w:rPr>
        <w:t>可以</w:t>
      </w:r>
      <w:r>
        <w:rPr>
          <w:rFonts w:asciiTheme="minorEastAsia" w:hAnsiTheme="minorEastAsia" w:eastAsiaTheme="minorEastAsia"/>
          <w:sz w:val="24"/>
        </w:rPr>
        <w:t>以</w:t>
      </w:r>
      <w:r>
        <w:rPr>
          <w:rFonts w:hint="eastAsia" w:asciiTheme="minorEastAsia" w:hAnsiTheme="minorEastAsia" w:eastAsiaTheme="minorEastAsia"/>
          <w:sz w:val="24"/>
        </w:rPr>
        <w:t>线上</w:t>
      </w:r>
      <w:r>
        <w:rPr>
          <w:rFonts w:asciiTheme="minorEastAsia" w:hAnsiTheme="minorEastAsia" w:eastAsiaTheme="minorEastAsia"/>
          <w:sz w:val="24"/>
        </w:rPr>
        <w:t>提问形式提交给采购</w:t>
      </w:r>
      <w:r>
        <w:rPr>
          <w:rFonts w:hint="eastAsia" w:asciiTheme="minorEastAsia" w:hAnsiTheme="minorEastAsia" w:eastAsiaTheme="minorEastAsia"/>
          <w:sz w:val="24"/>
        </w:rPr>
        <w:t>人。</w:t>
      </w:r>
    </w:p>
    <w:p w14:paraId="79B0FE79">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6</w:t>
      </w:r>
      <w:r>
        <w:rPr>
          <w:rFonts w:asciiTheme="minorEastAsia" w:hAnsiTheme="minorEastAsia" w:eastAsiaTheme="minorEastAsia"/>
          <w:sz w:val="24"/>
        </w:rPr>
        <w:t>.</w:t>
      </w:r>
      <w:r>
        <w:rPr>
          <w:rFonts w:hint="eastAsia" w:asciiTheme="minorEastAsia" w:hAnsiTheme="minorEastAsia" w:eastAsiaTheme="minorEastAsia"/>
          <w:sz w:val="24"/>
        </w:rPr>
        <w:t>2采购人可主动地或在答复投标人提出的询问时对招标文件进行澄清与修改。</w:t>
      </w:r>
      <w:r>
        <w:rPr>
          <w:rFonts w:asciiTheme="minorEastAsia" w:hAnsiTheme="minorEastAsia" w:eastAsiaTheme="minorEastAsia"/>
          <w:sz w:val="24"/>
        </w:rPr>
        <w:t>采购人将</w:t>
      </w:r>
      <w:r>
        <w:rPr>
          <w:rFonts w:hint="eastAsia" w:asciiTheme="minorEastAsia" w:hAnsiTheme="minorEastAsia" w:eastAsiaTheme="minorEastAsia"/>
          <w:sz w:val="24"/>
        </w:rPr>
        <w:t>在宁波通商银行官网以发布更正公告的方式</w:t>
      </w:r>
      <w:r>
        <w:rPr>
          <w:rFonts w:asciiTheme="minorEastAsia" w:hAnsiTheme="minorEastAsia" w:eastAsiaTheme="minorEastAsia"/>
          <w:sz w:val="24"/>
        </w:rPr>
        <w:t>，</w:t>
      </w:r>
      <w:r>
        <w:rPr>
          <w:rFonts w:hint="eastAsia" w:asciiTheme="minorEastAsia" w:hAnsiTheme="minorEastAsia" w:eastAsiaTheme="minorEastAsia"/>
          <w:sz w:val="24"/>
        </w:rPr>
        <w:t>澄清或修改招标文件，更正公告的</w:t>
      </w:r>
      <w:r>
        <w:rPr>
          <w:rFonts w:asciiTheme="minorEastAsia" w:hAnsiTheme="minorEastAsia" w:eastAsiaTheme="minorEastAsia"/>
          <w:sz w:val="24"/>
        </w:rPr>
        <w:t>内容</w:t>
      </w:r>
      <w:r>
        <w:rPr>
          <w:rFonts w:hint="eastAsia" w:asciiTheme="minorEastAsia" w:hAnsiTheme="minorEastAsia" w:eastAsiaTheme="minorEastAsia"/>
          <w:sz w:val="24"/>
        </w:rPr>
        <w:t>作</w:t>
      </w:r>
      <w:r>
        <w:rPr>
          <w:rFonts w:asciiTheme="minorEastAsia" w:hAnsiTheme="minorEastAsia" w:eastAsiaTheme="minorEastAsia"/>
          <w:sz w:val="24"/>
        </w:rPr>
        <w:t>为招标文件</w:t>
      </w:r>
      <w:r>
        <w:rPr>
          <w:rFonts w:hint="eastAsia" w:asciiTheme="minorEastAsia" w:hAnsiTheme="minorEastAsia" w:eastAsiaTheme="minorEastAsia"/>
          <w:sz w:val="24"/>
        </w:rPr>
        <w:t>的</w:t>
      </w:r>
      <w:r>
        <w:rPr>
          <w:rFonts w:asciiTheme="minorEastAsia" w:hAnsiTheme="minorEastAsia" w:eastAsiaTheme="minorEastAsia"/>
          <w:sz w:val="24"/>
        </w:rPr>
        <w:t>组成部分，对投标人起约束作用</w:t>
      </w:r>
      <w:r>
        <w:rPr>
          <w:rFonts w:hint="eastAsia" w:asciiTheme="minorEastAsia" w:hAnsiTheme="minorEastAsia" w:eastAsiaTheme="minorEastAsia"/>
          <w:sz w:val="24"/>
        </w:rPr>
        <w:t>。投标人应主动上网查询。采购人不承担投标人未及时关注相关信息引发的相关责任。</w:t>
      </w:r>
    </w:p>
    <w:p w14:paraId="161F6038">
      <w:pPr>
        <w:spacing w:line="360" w:lineRule="auto"/>
        <w:ind w:firstLine="435"/>
        <w:rPr>
          <w:rFonts w:ascii="宋体" w:hAnsi="宋体" w:eastAsia="宋体"/>
          <w:sz w:val="24"/>
        </w:rPr>
      </w:pPr>
      <w:r>
        <w:rPr>
          <w:rFonts w:hint="eastAsia" w:ascii="宋体" w:hAnsi="宋体" w:eastAsia="宋体"/>
          <w:sz w:val="24"/>
        </w:rPr>
        <w:t>6.3任何人或任何组织向投标人提供的任何书面或口头资料，未经采购人在网上发布或书面通知，均作无效处理，不得作为招标文件的组成部分。采购人对投标人由此而做出的推论、理解和结论概不负责。</w:t>
      </w:r>
    </w:p>
    <w:p w14:paraId="4CBB0C59">
      <w:pPr>
        <w:spacing w:line="360" w:lineRule="auto"/>
        <w:ind w:firstLine="435"/>
        <w:rPr>
          <w:rFonts w:asciiTheme="minorEastAsia" w:hAnsiTheme="minorEastAsia" w:eastAsiaTheme="minorEastAsia"/>
          <w:i/>
          <w:iCs/>
          <w:sz w:val="24"/>
        </w:rPr>
      </w:pPr>
      <w:r>
        <w:rPr>
          <w:rFonts w:hint="eastAsia" w:asciiTheme="minorEastAsia" w:hAnsiTheme="minorEastAsia" w:eastAsiaTheme="minorEastAsia"/>
          <w:sz w:val="24"/>
        </w:rPr>
        <w:t>6</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对于</w:t>
      </w:r>
      <w:r>
        <w:rPr>
          <w:rFonts w:ascii="宋体" w:hAnsi="宋体" w:eastAsia="宋体"/>
          <w:sz w:val="24"/>
        </w:rPr>
        <w:t>没有</w:t>
      </w:r>
      <w:r>
        <w:rPr>
          <w:rFonts w:asciiTheme="minorEastAsia" w:hAnsiTheme="minorEastAsia" w:eastAsiaTheme="minorEastAsia"/>
          <w:sz w:val="24"/>
        </w:rPr>
        <w:t>提出</w:t>
      </w:r>
      <w:r>
        <w:rPr>
          <w:rFonts w:hint="eastAsia" w:asciiTheme="minorEastAsia" w:hAnsiTheme="minorEastAsia" w:eastAsiaTheme="minorEastAsia"/>
          <w:sz w:val="24"/>
        </w:rPr>
        <w:t>疑问</w:t>
      </w:r>
      <w:r>
        <w:rPr>
          <w:rFonts w:asciiTheme="minorEastAsia" w:hAnsiTheme="minorEastAsia" w:eastAsiaTheme="minorEastAsia"/>
          <w:sz w:val="24"/>
        </w:rPr>
        <w:t>又参与了</w:t>
      </w:r>
      <w:r>
        <w:rPr>
          <w:rFonts w:hint="eastAsia" w:asciiTheme="minorEastAsia" w:hAnsiTheme="minorEastAsia" w:eastAsiaTheme="minorEastAsia"/>
          <w:sz w:val="24"/>
        </w:rPr>
        <w:t>本</w:t>
      </w:r>
      <w:r>
        <w:rPr>
          <w:rFonts w:asciiTheme="minorEastAsia" w:hAnsiTheme="minorEastAsia" w:eastAsiaTheme="minorEastAsia"/>
          <w:sz w:val="24"/>
        </w:rPr>
        <w:t>项目投标的</w:t>
      </w:r>
      <w:r>
        <w:rPr>
          <w:rFonts w:hint="eastAsia" w:asciiTheme="minorEastAsia" w:hAnsiTheme="minorEastAsia" w:eastAsiaTheme="minorEastAsia"/>
          <w:sz w:val="24"/>
        </w:rPr>
        <w:t>投标人</w:t>
      </w:r>
      <w:r>
        <w:rPr>
          <w:rFonts w:asciiTheme="minorEastAsia" w:hAnsiTheme="minorEastAsia" w:eastAsiaTheme="minorEastAsia"/>
          <w:sz w:val="24"/>
        </w:rPr>
        <w:t>将被视为完全认同</w:t>
      </w:r>
      <w:r>
        <w:rPr>
          <w:rFonts w:hint="eastAsia" w:asciiTheme="minorEastAsia" w:hAnsiTheme="minorEastAsia" w:eastAsiaTheme="minorEastAsia"/>
          <w:sz w:val="24"/>
        </w:rPr>
        <w:t>本</w:t>
      </w:r>
      <w:r>
        <w:rPr>
          <w:rFonts w:asciiTheme="minorEastAsia" w:hAnsiTheme="minorEastAsia" w:eastAsiaTheme="minorEastAsia"/>
          <w:sz w:val="24"/>
        </w:rPr>
        <w:t>招标文件（含</w:t>
      </w:r>
      <w:r>
        <w:rPr>
          <w:rFonts w:hint="eastAsia" w:asciiTheme="minorEastAsia" w:hAnsiTheme="minorEastAsia" w:eastAsiaTheme="minorEastAsia"/>
          <w:sz w:val="24"/>
        </w:rPr>
        <w:t>更正公告的</w:t>
      </w:r>
      <w:r>
        <w:rPr>
          <w:rFonts w:asciiTheme="minorEastAsia" w:hAnsiTheme="minorEastAsia" w:eastAsiaTheme="minorEastAsia"/>
          <w:sz w:val="24"/>
        </w:rPr>
        <w:t>内容）</w:t>
      </w:r>
      <w:r>
        <w:rPr>
          <w:rFonts w:hint="eastAsia" w:asciiTheme="minorEastAsia" w:hAnsiTheme="minorEastAsia" w:eastAsiaTheme="minorEastAsia"/>
          <w:i/>
          <w:sz w:val="24"/>
        </w:rPr>
        <w:t>。</w:t>
      </w:r>
    </w:p>
    <w:p w14:paraId="3ED5A187">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7.投标范围及投标文件中标准和计量单位的使用</w:t>
      </w:r>
    </w:p>
    <w:p w14:paraId="24A280CD">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.1</w:t>
      </w:r>
      <w:r>
        <w:rPr>
          <w:rFonts w:ascii="宋体" w:hAnsi="宋体" w:eastAsia="宋体"/>
          <w:sz w:val="24"/>
        </w:rPr>
        <w:t>项目</w:t>
      </w:r>
      <w:r>
        <w:rPr>
          <w:rFonts w:asciiTheme="minorEastAsia" w:hAnsiTheme="minorEastAsia" w:eastAsiaTheme="minorEastAsia"/>
          <w:sz w:val="24"/>
        </w:rPr>
        <w:t>有分标项的，投标人可对招标文件其中某一个或几个标项进行投标，除非在</w:t>
      </w:r>
      <w:r>
        <w:rPr>
          <w:rFonts w:asciiTheme="minorEastAsia" w:hAnsiTheme="minorEastAsia" w:eastAsiaTheme="minorEastAsia"/>
          <w:sz w:val="24"/>
          <w:u w:val="single"/>
        </w:rPr>
        <w:t>投标人须知前附表</w:t>
      </w:r>
      <w:r>
        <w:rPr>
          <w:rFonts w:asciiTheme="minorEastAsia" w:hAnsiTheme="minorEastAsia" w:eastAsiaTheme="minorEastAsia"/>
          <w:sz w:val="24"/>
        </w:rPr>
        <w:t>中另有规定。</w:t>
      </w:r>
    </w:p>
    <w:p w14:paraId="0933FA43">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.2投标人应当对所投标项招标文件中“</w:t>
      </w:r>
      <w:r>
        <w:rPr>
          <w:rFonts w:hint="eastAsia" w:asciiTheme="minorEastAsia" w:hAnsiTheme="minorEastAsia" w:eastAsiaTheme="minorEastAsia"/>
          <w:sz w:val="24"/>
        </w:rPr>
        <w:t>采购</w:t>
      </w:r>
      <w:r>
        <w:rPr>
          <w:rFonts w:asciiTheme="minorEastAsia" w:hAnsiTheme="minorEastAsia" w:eastAsiaTheme="minorEastAsia"/>
          <w:sz w:val="24"/>
        </w:rPr>
        <w:t>需求”所列的所有内容进行投标，如仅响应</w:t>
      </w:r>
      <w:r>
        <w:rPr>
          <w:rFonts w:hint="eastAsia" w:asciiTheme="minorEastAsia" w:hAnsiTheme="minorEastAsia" w:eastAsiaTheme="minorEastAsia"/>
          <w:sz w:val="24"/>
        </w:rPr>
        <w:t>所投标项</w:t>
      </w:r>
      <w:r>
        <w:rPr>
          <w:rFonts w:asciiTheme="minorEastAsia" w:hAnsiTheme="minorEastAsia" w:eastAsiaTheme="minorEastAsia"/>
          <w:sz w:val="24"/>
        </w:rPr>
        <w:t>中的部分内容，其</w:t>
      </w:r>
      <w:r>
        <w:rPr>
          <w:rFonts w:hint="eastAsia" w:asciiTheme="minorEastAsia" w:hAnsiTheme="minorEastAsia" w:eastAsiaTheme="minorEastAsia"/>
          <w:sz w:val="24"/>
        </w:rPr>
        <w:t>所投标项的</w:t>
      </w:r>
      <w:r>
        <w:rPr>
          <w:rFonts w:asciiTheme="minorEastAsia" w:hAnsiTheme="minorEastAsia" w:eastAsiaTheme="minorEastAsia"/>
          <w:sz w:val="24"/>
        </w:rPr>
        <w:t>投标将被认定为</w:t>
      </w:r>
      <w:r>
        <w:rPr>
          <w:rFonts w:asciiTheme="minorEastAsia" w:hAnsiTheme="minorEastAsia" w:eastAsiaTheme="minorEastAsia"/>
          <w:b/>
          <w:sz w:val="24"/>
        </w:rPr>
        <w:t>投标无效</w:t>
      </w:r>
      <w:r>
        <w:rPr>
          <w:rFonts w:asciiTheme="minorEastAsia" w:hAnsiTheme="minorEastAsia" w:eastAsiaTheme="minorEastAsia"/>
          <w:sz w:val="24"/>
        </w:rPr>
        <w:t>。</w:t>
      </w:r>
    </w:p>
    <w:p w14:paraId="2A14A240">
      <w:pPr>
        <w:spacing w:line="360" w:lineRule="auto"/>
        <w:ind w:firstLine="435"/>
        <w:rPr>
          <w:rFonts w:asciiTheme="minorEastAsia" w:hAnsiTheme="minorEastAsia" w:eastAsiaTheme="minorEastAsia"/>
          <w:sz w:val="24"/>
        </w:rPr>
      </w:pPr>
      <w:bookmarkStart w:id="22" w:name="_Hlk16458980"/>
      <w:r>
        <w:rPr>
          <w:rFonts w:hint="eastAsia" w:asciiTheme="minorEastAsia" w:hAnsiTheme="minorEastAsia" w:eastAsiaTheme="minorEastAsia"/>
          <w:sz w:val="24"/>
        </w:rPr>
        <w:t>7</w:t>
      </w:r>
      <w:r>
        <w:rPr>
          <w:rFonts w:asciiTheme="minorEastAsia" w:hAnsiTheme="minorEastAsia" w:eastAsiaTheme="minorEastAsia"/>
          <w:sz w:val="24"/>
        </w:rPr>
        <w:t>.3无论招标文件中是否要求，</w:t>
      </w:r>
      <w:r>
        <w:rPr>
          <w:rFonts w:hint="eastAsia" w:asciiTheme="minorEastAsia" w:hAnsiTheme="minorEastAsia" w:eastAsiaTheme="minorEastAsia"/>
          <w:sz w:val="24"/>
        </w:rPr>
        <w:t>投标人所投货物及伴随的服务和工程均应符合国家强制性标准。</w:t>
      </w:r>
    </w:p>
    <w:bookmarkEnd w:id="22"/>
    <w:p w14:paraId="74A136C8">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投标人与采购人之间与投标有关的所有往来通知、函件和投标文件均用中文表述。投标人随投标文件提供的证明文件和资料可以为其它语言，但必须附中文译文。翻译的中文资料与外文资料出现差异时，以中文为准。</w:t>
      </w:r>
    </w:p>
    <w:p w14:paraId="67BF8613">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w:t>
      </w:r>
      <w:r>
        <w:rPr>
          <w:rFonts w:hint="eastAsia" w:asciiTheme="minorEastAsia" w:hAnsiTheme="minorEastAsia" w:eastAsiaTheme="minorEastAsia"/>
          <w:sz w:val="24"/>
        </w:rPr>
        <w:t>5</w:t>
      </w:r>
      <w:r>
        <w:rPr>
          <w:rFonts w:asciiTheme="minorEastAsia" w:hAnsiTheme="minorEastAsia" w:eastAsiaTheme="minorEastAsia"/>
          <w:sz w:val="24"/>
        </w:rPr>
        <w:t>除</w:t>
      </w:r>
      <w:r>
        <w:rPr>
          <w:rFonts w:ascii="宋体" w:hAnsi="宋体" w:eastAsia="宋体"/>
          <w:sz w:val="24"/>
        </w:rPr>
        <w:t>招标文件</w:t>
      </w:r>
      <w:r>
        <w:rPr>
          <w:rFonts w:asciiTheme="minorEastAsia" w:hAnsiTheme="minorEastAsia" w:eastAsiaTheme="minorEastAsia"/>
          <w:sz w:val="24"/>
        </w:rPr>
        <w:t>中有特殊要求外，投标文件中所使用的计量单位，应采用中华人民共和国法定计量单位。</w:t>
      </w:r>
    </w:p>
    <w:p w14:paraId="398764A3">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8</w:t>
      </w:r>
      <w:r>
        <w:rPr>
          <w:rFonts w:asciiTheme="minorEastAsia" w:hAnsiTheme="minorEastAsia" w:eastAsiaTheme="minorEastAsia"/>
          <w:b/>
          <w:sz w:val="24"/>
        </w:rPr>
        <w:t>.</w:t>
      </w:r>
      <w:r>
        <w:rPr>
          <w:rFonts w:hint="eastAsia" w:asciiTheme="minorEastAsia" w:hAnsiTheme="minorEastAsia" w:eastAsiaTheme="minorEastAsia"/>
          <w:b/>
          <w:sz w:val="24"/>
        </w:rPr>
        <w:t>投标文件构成</w:t>
      </w:r>
    </w:p>
    <w:p w14:paraId="1A2CA3F9">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.1</w:t>
      </w:r>
      <w:r>
        <w:rPr>
          <w:rFonts w:ascii="宋体" w:hAnsi="宋体" w:eastAsia="宋体"/>
          <w:sz w:val="24"/>
        </w:rPr>
        <w:t>投标人</w:t>
      </w:r>
      <w:r>
        <w:rPr>
          <w:rFonts w:asciiTheme="minorEastAsia" w:hAnsiTheme="minorEastAsia" w:eastAsiaTheme="minorEastAsia"/>
          <w:sz w:val="24"/>
        </w:rPr>
        <w:t>应完整地按招标文件提供的投标文件格式及要求</w:t>
      </w:r>
      <w:r>
        <w:rPr>
          <w:rFonts w:hint="eastAsia" w:asciiTheme="minorEastAsia" w:hAnsiTheme="minorEastAsia" w:eastAsiaTheme="minorEastAsia"/>
          <w:sz w:val="24"/>
        </w:rPr>
        <w:t>编</w:t>
      </w:r>
      <w:r>
        <w:rPr>
          <w:rFonts w:asciiTheme="minorEastAsia" w:hAnsiTheme="minorEastAsia" w:eastAsiaTheme="minorEastAsia"/>
          <w:sz w:val="24"/>
        </w:rPr>
        <w:t>写投标文件，</w:t>
      </w:r>
      <w:r>
        <w:rPr>
          <w:rFonts w:hint="eastAsia" w:asciiTheme="minorEastAsia" w:hAnsiTheme="minorEastAsia" w:eastAsiaTheme="minorEastAsia"/>
          <w:sz w:val="24"/>
        </w:rPr>
        <w:t>具体内容详见本项目投标文件格式的相关内容。</w:t>
      </w:r>
    </w:p>
    <w:p w14:paraId="3D9B4A5E">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8.2</w:t>
      </w:r>
      <w:r>
        <w:rPr>
          <w:rFonts w:asciiTheme="minorEastAsia" w:hAnsiTheme="minorEastAsia" w:eastAsiaTheme="minorEastAsia"/>
          <w:sz w:val="24"/>
        </w:rPr>
        <w:t>投标文件装订。纸质投标文件正副本分册</w:t>
      </w:r>
      <w:r>
        <w:rPr>
          <w:rFonts w:hint="eastAsia" w:asciiTheme="minorEastAsia" w:hAnsiTheme="minorEastAsia" w:eastAsiaTheme="minorEastAsia"/>
          <w:sz w:val="24"/>
        </w:rPr>
        <w:t>装订，</w:t>
      </w:r>
      <w:r>
        <w:rPr>
          <w:rFonts w:asciiTheme="minorEastAsia" w:hAnsiTheme="minorEastAsia" w:eastAsiaTheme="minorEastAsia"/>
          <w:sz w:val="24"/>
        </w:rPr>
        <w:t>投标文件为A4幅面，并编制目录，目录、内容标注连续页码；投标人同时对多个标段投标的，投标文件应按所投标段分别编制并分册</w:t>
      </w:r>
      <w:r>
        <w:rPr>
          <w:rFonts w:hint="eastAsia" w:asciiTheme="minorEastAsia" w:hAnsiTheme="minorEastAsia" w:eastAsiaTheme="minorEastAsia"/>
          <w:sz w:val="24"/>
        </w:rPr>
        <w:t>装订，其他</w:t>
      </w:r>
      <w:r>
        <w:rPr>
          <w:rFonts w:asciiTheme="minorEastAsia" w:hAnsiTheme="minorEastAsia" w:eastAsiaTheme="minorEastAsia"/>
          <w:sz w:val="24"/>
        </w:rPr>
        <w:t>要求按</w:t>
      </w:r>
      <w:r>
        <w:rPr>
          <w:rFonts w:asciiTheme="minorEastAsia" w:hAnsiTheme="minorEastAsia" w:eastAsiaTheme="minorEastAsia"/>
          <w:b/>
          <w:sz w:val="24"/>
        </w:rPr>
        <w:t>投标人须知前附表</w:t>
      </w:r>
      <w:r>
        <w:rPr>
          <w:rFonts w:asciiTheme="minorEastAsia" w:hAnsiTheme="minorEastAsia" w:eastAsiaTheme="minorEastAsia"/>
          <w:sz w:val="24"/>
        </w:rPr>
        <w:t>。</w:t>
      </w:r>
    </w:p>
    <w:p w14:paraId="0980D9DC">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8.3投标文件数量以及要求</w:t>
      </w:r>
      <w:r>
        <w:rPr>
          <w:rFonts w:hint="eastAsia" w:asciiTheme="minorEastAsia" w:hAnsiTheme="minorEastAsia" w:eastAsiaTheme="minorEastAsia"/>
          <w:sz w:val="24"/>
        </w:rPr>
        <w:t>，</w:t>
      </w:r>
      <w:r>
        <w:rPr>
          <w:rFonts w:asciiTheme="minorEastAsia" w:hAnsiTheme="minorEastAsia" w:eastAsiaTheme="minorEastAsia"/>
          <w:sz w:val="24"/>
        </w:rPr>
        <w:t>按</w:t>
      </w:r>
      <w:r>
        <w:rPr>
          <w:rFonts w:asciiTheme="minorEastAsia" w:hAnsiTheme="minorEastAsia" w:eastAsiaTheme="minorEastAsia"/>
          <w:b/>
          <w:sz w:val="24"/>
        </w:rPr>
        <w:t>投标人须知前附表</w:t>
      </w:r>
      <w:r>
        <w:rPr>
          <w:rFonts w:hint="eastAsia" w:asciiTheme="minorEastAsia" w:hAnsiTheme="minorEastAsia" w:eastAsiaTheme="minorEastAsia"/>
          <w:b/>
          <w:sz w:val="24"/>
        </w:rPr>
        <w:t>。</w:t>
      </w:r>
    </w:p>
    <w:p w14:paraId="2F327B01">
      <w:pPr>
        <w:spacing w:line="360" w:lineRule="auto"/>
        <w:ind w:firstLine="435"/>
      </w:pPr>
      <w:r>
        <w:rPr>
          <w:rFonts w:hint="eastAsia" w:asciiTheme="minorEastAsia" w:hAnsiTheme="minorEastAsia" w:eastAsiaTheme="minorEastAsia"/>
          <w:sz w:val="24"/>
        </w:rPr>
        <w:t>8.</w:t>
      </w:r>
      <w:r>
        <w:rPr>
          <w:rFonts w:asciiTheme="minorEastAsia" w:hAnsiTheme="minorEastAsia" w:eastAsiaTheme="minorEastAsia"/>
          <w:sz w:val="24"/>
        </w:rPr>
        <w:t>4</w:t>
      </w:r>
      <w:r>
        <w:rPr>
          <w:rFonts w:ascii="宋体" w:hAnsi="宋体" w:eastAsia="宋体"/>
          <w:sz w:val="24"/>
        </w:rPr>
        <w:t>投标人</w:t>
      </w:r>
      <w:r>
        <w:rPr>
          <w:rFonts w:asciiTheme="minorEastAsia" w:hAnsiTheme="minorEastAsia" w:eastAsiaTheme="minorEastAsia"/>
          <w:sz w:val="24"/>
        </w:rPr>
        <w:t>应提交</w:t>
      </w:r>
      <w:r>
        <w:rPr>
          <w:rFonts w:hint="eastAsia" w:asciiTheme="minorEastAsia" w:hAnsiTheme="minorEastAsia" w:eastAsiaTheme="minorEastAsia"/>
          <w:sz w:val="24"/>
        </w:rPr>
        <w:t>招标文件要求的</w:t>
      </w:r>
      <w:r>
        <w:rPr>
          <w:rFonts w:asciiTheme="minorEastAsia" w:hAnsiTheme="minorEastAsia" w:eastAsiaTheme="minorEastAsia"/>
          <w:sz w:val="24"/>
        </w:rPr>
        <w:t>证明文件，证明其投标内容符合招标文件规定</w:t>
      </w:r>
      <w:r>
        <w:rPr>
          <w:rFonts w:hint="eastAsia" w:asciiTheme="minorEastAsia" w:hAnsiTheme="minorEastAsia" w:eastAsiaTheme="minorEastAsia"/>
          <w:sz w:val="24"/>
        </w:rPr>
        <w:t>，</w:t>
      </w:r>
      <w:r>
        <w:rPr>
          <w:rFonts w:asciiTheme="minorEastAsia" w:hAnsiTheme="minorEastAsia" w:eastAsiaTheme="minorEastAsia"/>
          <w:sz w:val="24"/>
        </w:rPr>
        <w:t>该证明文件是投标文件的一部分</w:t>
      </w:r>
      <w:r>
        <w:rPr>
          <w:rFonts w:hint="eastAsia" w:asciiTheme="minorEastAsia" w:hAnsiTheme="minorEastAsia" w:eastAsiaTheme="minorEastAsia"/>
          <w:sz w:val="24"/>
        </w:rPr>
        <w:t>。</w:t>
      </w:r>
      <w:r>
        <w:rPr>
          <w:rFonts w:asciiTheme="minorEastAsia" w:hAnsiTheme="minorEastAsia" w:eastAsiaTheme="minorEastAsia"/>
          <w:sz w:val="24"/>
        </w:rPr>
        <w:t>证明文件</w:t>
      </w:r>
      <w:r>
        <w:rPr>
          <w:rFonts w:hint="eastAsia" w:asciiTheme="minorEastAsia" w:hAnsiTheme="minorEastAsia" w:eastAsiaTheme="minorEastAsia"/>
          <w:sz w:val="24"/>
        </w:rPr>
        <w:t>形式</w:t>
      </w:r>
      <w:r>
        <w:rPr>
          <w:rFonts w:asciiTheme="minorEastAsia" w:hAnsiTheme="minorEastAsia" w:eastAsiaTheme="minorEastAsia"/>
          <w:sz w:val="24"/>
        </w:rPr>
        <w:t>可以是文字资料、图纸和数据</w:t>
      </w:r>
      <w:bookmarkStart w:id="23" w:name="_Hlk11703583"/>
      <w:r>
        <w:rPr>
          <w:rFonts w:hint="eastAsia" w:asciiTheme="minorEastAsia" w:hAnsiTheme="minorEastAsia" w:eastAsiaTheme="minorEastAsia"/>
          <w:sz w:val="24"/>
        </w:rPr>
        <w:t>等。</w:t>
      </w:r>
    </w:p>
    <w:bookmarkEnd w:id="23"/>
    <w:p w14:paraId="3EA5A40A">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5为保证</w:t>
      </w:r>
      <w:r>
        <w:rPr>
          <w:rFonts w:ascii="宋体" w:hAnsi="宋体" w:eastAsia="宋体"/>
          <w:sz w:val="24"/>
        </w:rPr>
        <w:t>公平</w:t>
      </w:r>
      <w:r>
        <w:rPr>
          <w:rFonts w:asciiTheme="minorEastAsia" w:hAnsiTheme="minorEastAsia" w:eastAsiaTheme="minorEastAsia"/>
          <w:sz w:val="24"/>
        </w:rPr>
        <w:t>公正，除非另有规定或说明，投标人对同一项目投标时，不得同时提供</w:t>
      </w:r>
      <w:r>
        <w:rPr>
          <w:rFonts w:hint="eastAsia" w:asciiTheme="minorEastAsia" w:hAnsiTheme="minorEastAsia" w:eastAsiaTheme="minorEastAsia"/>
          <w:sz w:val="24"/>
        </w:rPr>
        <w:t>备选</w:t>
      </w:r>
      <w:r>
        <w:rPr>
          <w:rFonts w:asciiTheme="minorEastAsia" w:hAnsiTheme="minorEastAsia" w:eastAsiaTheme="minorEastAsia"/>
          <w:sz w:val="24"/>
        </w:rPr>
        <w:t>投标方案。</w:t>
      </w:r>
    </w:p>
    <w:p w14:paraId="7392E2D4">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9</w:t>
      </w:r>
      <w:r>
        <w:rPr>
          <w:rFonts w:asciiTheme="minorEastAsia" w:hAnsiTheme="minorEastAsia" w:eastAsiaTheme="minorEastAsia"/>
          <w:b/>
          <w:sz w:val="24"/>
        </w:rPr>
        <w:t>.</w:t>
      </w:r>
      <w:r>
        <w:rPr>
          <w:rFonts w:hint="eastAsia" w:asciiTheme="minorEastAsia" w:hAnsiTheme="minorEastAsia" w:eastAsiaTheme="minorEastAsia"/>
          <w:b/>
          <w:sz w:val="24"/>
        </w:rPr>
        <w:t>投标报价</w:t>
      </w:r>
    </w:p>
    <w:p w14:paraId="6514DEFE">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.1投标人的报价应当包括满足本次招标全部采购需求</w:t>
      </w:r>
      <w:r>
        <w:rPr>
          <w:rFonts w:hint="eastAsia" w:asciiTheme="minorEastAsia" w:hAnsiTheme="minorEastAsia" w:eastAsiaTheme="minorEastAsia"/>
          <w:sz w:val="24"/>
        </w:rPr>
        <w:t>。除招标文件另有规定外，所有投标均应以人民币报价。投标人的投标报价应遵守《中华人民共和国价格法》。</w:t>
      </w:r>
    </w:p>
    <w:p w14:paraId="6CBB9967">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.2投标人报价超过招标文件规定的预算金额或者分项、标项最高限价，其投标将被认定为</w:t>
      </w:r>
      <w:r>
        <w:rPr>
          <w:rFonts w:asciiTheme="minorEastAsia" w:hAnsiTheme="minorEastAsia" w:eastAsiaTheme="minorEastAsia"/>
          <w:b/>
          <w:bCs/>
          <w:sz w:val="24"/>
        </w:rPr>
        <w:t>投标无效</w:t>
      </w:r>
      <w:r>
        <w:rPr>
          <w:rFonts w:asciiTheme="minorEastAsia" w:hAnsiTheme="minorEastAsia" w:eastAsiaTheme="minorEastAsia"/>
          <w:sz w:val="24"/>
        </w:rPr>
        <w:t>。</w:t>
      </w:r>
    </w:p>
    <w:p w14:paraId="73F8EA2B">
      <w:pPr>
        <w:spacing w:line="360" w:lineRule="auto"/>
        <w:ind w:firstLine="435"/>
        <w:rPr>
          <w:rFonts w:ascii="宋体" w:hAnsi="宋体" w:eastAsia="宋体"/>
          <w:sz w:val="24"/>
        </w:rPr>
      </w:pPr>
      <w:r>
        <w:rPr>
          <w:rFonts w:hint="eastAsia" w:asciiTheme="minorEastAsia" w:hAnsiTheme="minorEastAsia" w:eastAsiaTheme="minorEastAsia"/>
          <w:sz w:val="24"/>
        </w:rPr>
        <w:t>9</w:t>
      </w:r>
      <w:r>
        <w:rPr>
          <w:rFonts w:asciiTheme="minorEastAsia" w:hAnsiTheme="minorEastAsia" w:eastAsiaTheme="minorEastAsia"/>
          <w:sz w:val="24"/>
        </w:rPr>
        <w:t>.</w:t>
      </w:r>
      <w:r>
        <w:rPr>
          <w:rFonts w:hint="eastAsia" w:asciiTheme="minorEastAsia" w:hAnsiTheme="minorEastAsia" w:eastAsiaTheme="minorEastAsia"/>
          <w:sz w:val="24"/>
        </w:rPr>
        <w:t>3评标委员会认为投标人的报价明显低于其他通过符合性审查投标人的报价，有可能影响产品质量或者不能诚信履约的，应当要求其在合理的时间内提供书面说明，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sz w:val="24"/>
        </w:rPr>
        <w:t>必要时提交相关证明材料；投标人不能证明其报价合理性的，其投标将被认定为</w:t>
      </w:r>
      <w:r>
        <w:rPr>
          <w:rFonts w:asciiTheme="minorEastAsia" w:hAnsiTheme="minorEastAsia" w:eastAsiaTheme="minorEastAsia"/>
          <w:b/>
          <w:sz w:val="24"/>
        </w:rPr>
        <w:t>投标无效</w:t>
      </w:r>
      <w:r>
        <w:rPr>
          <w:rFonts w:hint="eastAsia" w:asciiTheme="minorEastAsia" w:hAnsiTheme="minorEastAsia" w:eastAsiaTheme="minorEastAsia"/>
          <w:sz w:val="24"/>
        </w:rPr>
        <w:t>。</w:t>
      </w:r>
    </w:p>
    <w:p w14:paraId="2F3C673D">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.4采购人不接受具有附加条件的报价。</w:t>
      </w:r>
    </w:p>
    <w:p w14:paraId="3B514D20">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10</w:t>
      </w:r>
      <w:r>
        <w:rPr>
          <w:rFonts w:asciiTheme="minorEastAsia" w:hAnsiTheme="minorEastAsia" w:eastAsiaTheme="minorEastAsia"/>
          <w:b/>
          <w:sz w:val="24"/>
        </w:rPr>
        <w:t>.</w:t>
      </w:r>
      <w:r>
        <w:rPr>
          <w:rFonts w:hint="eastAsia" w:asciiTheme="minorEastAsia" w:hAnsiTheme="minorEastAsia" w:eastAsiaTheme="minorEastAsia"/>
          <w:b/>
          <w:sz w:val="24"/>
        </w:rPr>
        <w:t>投标保证金</w:t>
      </w:r>
    </w:p>
    <w:p w14:paraId="3908A6C8">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10.1本项目不收取投标保证金。</w:t>
      </w:r>
    </w:p>
    <w:p w14:paraId="1BF31E8D">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11</w:t>
      </w:r>
      <w:r>
        <w:rPr>
          <w:rFonts w:asciiTheme="minorEastAsia" w:hAnsiTheme="minorEastAsia" w:eastAsiaTheme="minorEastAsia"/>
          <w:b/>
          <w:sz w:val="24"/>
        </w:rPr>
        <w:t>.</w:t>
      </w:r>
      <w:r>
        <w:rPr>
          <w:rFonts w:hint="eastAsia" w:asciiTheme="minorEastAsia" w:hAnsiTheme="minorEastAsia" w:eastAsiaTheme="minorEastAsia"/>
          <w:b/>
          <w:sz w:val="24"/>
        </w:rPr>
        <w:t>投标有效期</w:t>
      </w:r>
    </w:p>
    <w:p w14:paraId="58E7BD2B">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11.1投标有效期为从投标截止之日算起的日历天数，投标有效期详见</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w:t>
      </w:r>
    </w:p>
    <w:p w14:paraId="4D51126E">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11.2在投标有效期内，投标人的投标保持有效，投标人不得要求撤销或修改其投标文件。投标有效期不满足要求的投标，其投标将被认定为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sz w:val="24"/>
        </w:rPr>
        <w:t>投标无效</w:t>
      </w:r>
      <w:r>
        <w:rPr>
          <w:rFonts w:hint="eastAsia" w:asciiTheme="minorEastAsia" w:hAnsiTheme="minorEastAsia" w:eastAsiaTheme="minorEastAsia"/>
          <w:sz w:val="24"/>
        </w:rPr>
        <w:t>。</w:t>
      </w:r>
    </w:p>
    <w:p w14:paraId="3A3CF0CF">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1</w:t>
      </w:r>
      <w:r>
        <w:rPr>
          <w:rFonts w:asciiTheme="minorEastAsia" w:hAnsiTheme="minorEastAsia" w:eastAsiaTheme="minorEastAsia"/>
          <w:sz w:val="24"/>
        </w:rPr>
        <w:t>.3</w:t>
      </w:r>
      <w:r>
        <w:rPr>
          <w:rFonts w:hint="eastAsia" w:asciiTheme="minorEastAsia" w:hAnsiTheme="minorEastAsia" w:eastAsiaTheme="minorEastAsia"/>
          <w:sz w:val="24"/>
        </w:rPr>
        <w:t>因特殊原因，采购人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4EEF0FC9">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12</w:t>
      </w:r>
      <w:r>
        <w:rPr>
          <w:rFonts w:asciiTheme="minorEastAsia" w:hAnsiTheme="minorEastAsia" w:eastAsiaTheme="minorEastAsia"/>
          <w:b/>
          <w:sz w:val="24"/>
        </w:rPr>
        <w:t>.</w:t>
      </w:r>
      <w:r>
        <w:rPr>
          <w:rFonts w:hint="eastAsia" w:asciiTheme="minorEastAsia" w:hAnsiTheme="minorEastAsia" w:eastAsiaTheme="minorEastAsia"/>
          <w:b/>
          <w:sz w:val="24"/>
        </w:rPr>
        <w:t>投标文件的递交、修改与撤回</w:t>
      </w:r>
    </w:p>
    <w:p w14:paraId="443D8303">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2.1投标人应当在招标公告规定的投标截止时间前</w:t>
      </w:r>
      <w:r>
        <w:rPr>
          <w:rFonts w:asciiTheme="minorEastAsia" w:hAnsiTheme="minorEastAsia" w:eastAsiaTheme="minorEastAsia"/>
          <w:sz w:val="24"/>
        </w:rPr>
        <w:t>，</w:t>
      </w:r>
      <w:r>
        <w:rPr>
          <w:rFonts w:hint="eastAsia" w:asciiTheme="minorEastAsia" w:hAnsiTheme="minorEastAsia" w:eastAsiaTheme="minorEastAsia"/>
          <w:sz w:val="24"/>
        </w:rPr>
        <w:t>提交投标</w:t>
      </w:r>
      <w:r>
        <w:rPr>
          <w:rFonts w:asciiTheme="minorEastAsia" w:hAnsiTheme="minorEastAsia" w:eastAsiaTheme="minorEastAsia"/>
          <w:sz w:val="24"/>
        </w:rPr>
        <w:t>文件。</w:t>
      </w:r>
    </w:p>
    <w:p w14:paraId="06D7E0A3">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2.2投标人在投标截止时间前可以补充、修改或者撤回投标文件。投标截止时间前未重新提交投标</w:t>
      </w:r>
      <w:r>
        <w:rPr>
          <w:rFonts w:asciiTheme="minorEastAsia" w:hAnsiTheme="minorEastAsia" w:eastAsiaTheme="minorEastAsia"/>
          <w:sz w:val="24"/>
        </w:rPr>
        <w:t>文件</w:t>
      </w:r>
      <w:r>
        <w:rPr>
          <w:rFonts w:hint="eastAsia" w:asciiTheme="minorEastAsia" w:hAnsiTheme="minorEastAsia" w:eastAsiaTheme="minorEastAsia"/>
          <w:sz w:val="24"/>
        </w:rPr>
        <w:t>的，视为撤回投标文件。未按规定加密或投标截止时间后送达的投标文件，应当拒收。</w:t>
      </w:r>
    </w:p>
    <w:p w14:paraId="22D178D3">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13</w:t>
      </w:r>
      <w:r>
        <w:rPr>
          <w:rFonts w:asciiTheme="minorEastAsia" w:hAnsiTheme="minorEastAsia" w:eastAsiaTheme="minorEastAsia"/>
          <w:b/>
          <w:sz w:val="24"/>
        </w:rPr>
        <w:t>.</w:t>
      </w:r>
      <w:r>
        <w:rPr>
          <w:rFonts w:hint="eastAsia" w:asciiTheme="minorEastAsia" w:hAnsiTheme="minorEastAsia" w:eastAsiaTheme="minorEastAsia"/>
          <w:b/>
          <w:sz w:val="24"/>
        </w:rPr>
        <w:t>开标</w:t>
      </w:r>
    </w:p>
    <w:p w14:paraId="5915058D">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13</w:t>
      </w:r>
      <w:r>
        <w:rPr>
          <w:rFonts w:asciiTheme="minorEastAsia" w:hAnsiTheme="minorEastAsia" w:eastAsiaTheme="minorEastAsia"/>
          <w:sz w:val="24"/>
        </w:rPr>
        <w:t>.1开标时，采购人将</w:t>
      </w:r>
      <w:r>
        <w:rPr>
          <w:rFonts w:hint="eastAsia" w:asciiTheme="minorEastAsia" w:hAnsiTheme="minorEastAsia" w:eastAsiaTheme="minorEastAsia"/>
          <w:sz w:val="24"/>
        </w:rPr>
        <w:t>现场</w:t>
      </w:r>
      <w:r>
        <w:rPr>
          <w:rFonts w:asciiTheme="minorEastAsia" w:hAnsiTheme="minorEastAsia" w:eastAsiaTheme="minorEastAsia"/>
          <w:sz w:val="24"/>
        </w:rPr>
        <w:t>公布</w:t>
      </w:r>
      <w:r>
        <w:rPr>
          <w:rFonts w:hint="eastAsia" w:asciiTheme="minorEastAsia" w:hAnsiTheme="minorEastAsia" w:eastAsiaTheme="minorEastAsia"/>
          <w:sz w:val="24"/>
        </w:rPr>
        <w:t>开标结果，公布内容包括投标人名称、投标价格及招标文件规定的内容。</w:t>
      </w:r>
    </w:p>
    <w:p w14:paraId="1682D654">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13.</w:t>
      </w:r>
      <w:r>
        <w:rPr>
          <w:rFonts w:asciiTheme="minorEastAsia" w:hAnsiTheme="minorEastAsia" w:eastAsiaTheme="minorEastAsia"/>
          <w:sz w:val="24"/>
        </w:rPr>
        <w:t>2</w:t>
      </w:r>
      <w:r>
        <w:rPr>
          <w:rFonts w:hint="eastAsia" w:asciiTheme="minorEastAsia" w:hAnsiTheme="minorEastAsia" w:eastAsiaTheme="minorEastAsia"/>
          <w:sz w:val="24"/>
        </w:rPr>
        <w:t>采购人将对开标过程进行记录，由参加开标的各投标人代表和相关工作人员签字确认，并存档备查。</w:t>
      </w:r>
    </w:p>
    <w:p w14:paraId="346521C5">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投标人未派代表参加开标的，视同投标人认可开标结果。</w:t>
      </w:r>
    </w:p>
    <w:p w14:paraId="26CD4076">
      <w:pPr>
        <w:spacing w:line="360" w:lineRule="auto"/>
        <w:ind w:firstLine="435"/>
        <w:rPr>
          <w:rFonts w:asciiTheme="minorEastAsia" w:hAnsiTheme="minorEastAsia" w:eastAsiaTheme="minorEastAsia"/>
          <w:sz w:val="28"/>
        </w:rPr>
      </w:pPr>
      <w:r>
        <w:rPr>
          <w:rFonts w:hint="eastAsia" w:asciiTheme="minorEastAsia" w:hAnsiTheme="minorEastAsia" w:eastAsiaTheme="minorEastAsia"/>
          <w:sz w:val="24"/>
        </w:rPr>
        <w:t>13.</w:t>
      </w:r>
      <w:r>
        <w:rPr>
          <w:rFonts w:asciiTheme="minorEastAsia" w:hAnsiTheme="minorEastAsia" w:eastAsiaTheme="minorEastAsia"/>
          <w:sz w:val="24"/>
        </w:rPr>
        <w:t>3</w:t>
      </w:r>
      <w:r>
        <w:rPr>
          <w:rFonts w:hint="eastAsia" w:asciiTheme="minorEastAsia" w:hAnsiTheme="minorEastAsia" w:eastAsiaTheme="minorEastAsia"/>
          <w:sz w:val="24"/>
        </w:rPr>
        <w:t>投标人代表对开标过程和开标记录有疑义，以及认为采购人工作人员有需要回避的情形的，应当场提出询问或者回避申请。</w:t>
      </w:r>
    </w:p>
    <w:p w14:paraId="2B2EA3B1">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14</w:t>
      </w:r>
      <w:r>
        <w:rPr>
          <w:rFonts w:asciiTheme="minorEastAsia" w:hAnsiTheme="minorEastAsia" w:eastAsiaTheme="minorEastAsia"/>
          <w:b/>
          <w:sz w:val="24"/>
        </w:rPr>
        <w:t>.</w:t>
      </w:r>
      <w:r>
        <w:rPr>
          <w:rFonts w:hint="eastAsia" w:asciiTheme="minorEastAsia" w:hAnsiTheme="minorEastAsia" w:eastAsiaTheme="minorEastAsia"/>
          <w:b/>
          <w:sz w:val="24"/>
        </w:rPr>
        <w:t>资格审查及组建评标委员会</w:t>
      </w:r>
    </w:p>
    <w:p w14:paraId="374A9950">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14.1采购人依据法律法规和招标文件中规定的内</w:t>
      </w:r>
      <w:r>
        <w:rPr>
          <w:rFonts w:asciiTheme="minorEastAsia" w:hAnsiTheme="minorEastAsia" w:eastAsiaTheme="minorEastAsia"/>
          <w:sz w:val="24"/>
        </w:rPr>
        <w:t>容</w:t>
      </w:r>
      <w:r>
        <w:rPr>
          <w:rFonts w:hint="eastAsia" w:asciiTheme="minorEastAsia" w:hAnsiTheme="minorEastAsia" w:eastAsiaTheme="minorEastAsia"/>
          <w:sz w:val="24"/>
        </w:rPr>
        <w:t>，对投标人资格进行审查，未</w:t>
      </w:r>
      <w:r>
        <w:rPr>
          <w:rFonts w:asciiTheme="minorEastAsia" w:hAnsiTheme="minorEastAsia" w:eastAsiaTheme="minorEastAsia"/>
          <w:sz w:val="24"/>
        </w:rPr>
        <w:t>通过资格审查的投标人</w:t>
      </w:r>
      <w:r>
        <w:rPr>
          <w:rFonts w:hint="eastAsia" w:asciiTheme="minorEastAsia" w:hAnsiTheme="minorEastAsia" w:eastAsiaTheme="minorEastAsia"/>
          <w:sz w:val="24"/>
        </w:rPr>
        <w:t>不</w:t>
      </w:r>
      <w:r>
        <w:rPr>
          <w:rFonts w:asciiTheme="minorEastAsia" w:hAnsiTheme="minorEastAsia" w:eastAsiaTheme="minorEastAsia"/>
          <w:sz w:val="24"/>
        </w:rPr>
        <w:t>进入评标</w:t>
      </w:r>
      <w:r>
        <w:rPr>
          <w:rFonts w:hint="eastAsia" w:asciiTheme="minorEastAsia" w:hAnsiTheme="minorEastAsia" w:eastAsiaTheme="minorEastAsia"/>
          <w:sz w:val="24"/>
        </w:rPr>
        <w:t>。</w:t>
      </w:r>
    </w:p>
    <w:p w14:paraId="43E86E00">
      <w:pPr>
        <w:spacing w:line="360" w:lineRule="auto"/>
        <w:ind w:firstLine="435"/>
        <w:rPr>
          <w:rFonts w:ascii="宋体" w:hAnsi="宋体" w:eastAsia="宋体" w:cs="宋体"/>
          <w:sz w:val="24"/>
          <w:szCs w:val="24"/>
        </w:rPr>
      </w:pPr>
      <w:bookmarkStart w:id="24" w:name="_Hlk24663244"/>
      <w:r>
        <w:rPr>
          <w:rFonts w:hint="eastAsia" w:ascii="宋体" w:hAnsi="宋体" w:eastAsia="宋体" w:cs="宋体"/>
          <w:sz w:val="24"/>
          <w:szCs w:val="24"/>
        </w:rPr>
        <w:t>14.2采购人将在投标截止时间后至评审结束前通过“信用中国”网站(www.creditchina.gov.cn)、中国政府官网(www.ccgp.gov.cn)查询相关投标人信用记录，并对投标人信用记录进行甄别，对列入“信用中国”网站(www.creditchina.gov.cn)失信被执行人名单、重大税收违法案件当事人名单、中国政府官网(www.ccgp.gov.cn)政府采购严重违法失信行为记录名单及其他不符合《中华人民共和国政府采购法》第二十二条规定条件的供应商，其投标将被认定为</w:t>
      </w:r>
      <w:r>
        <w:rPr>
          <w:rFonts w:hint="eastAsia" w:ascii="宋体" w:hAnsi="宋体" w:eastAsia="宋体" w:cs="宋体"/>
          <w:b/>
          <w:sz w:val="24"/>
          <w:szCs w:val="24"/>
        </w:rPr>
        <w:t>投标无效</w:t>
      </w:r>
      <w:r>
        <w:rPr>
          <w:rFonts w:hint="eastAsia" w:ascii="宋体" w:hAnsi="宋体" w:eastAsia="宋体" w:cs="宋体"/>
          <w:sz w:val="24"/>
          <w:szCs w:val="24"/>
        </w:rPr>
        <w:t>。</w:t>
      </w:r>
    </w:p>
    <w:p w14:paraId="5307652F">
      <w:pPr>
        <w:spacing w:line="360" w:lineRule="auto"/>
        <w:ind w:firstLine="435"/>
        <w:rPr>
          <w:rFonts w:asciiTheme="minorEastAsia" w:hAnsiTheme="minorEastAsia" w:eastAsiaTheme="minorEastAsia"/>
          <w:sz w:val="24"/>
        </w:rPr>
      </w:pPr>
      <w:r>
        <w:rPr>
          <w:rFonts w:hint="eastAsia" w:ascii="宋体" w:hAnsi="宋体" w:eastAsia="宋体" w:cs="宋体"/>
          <w:sz w:val="24"/>
          <w:szCs w:val="24"/>
        </w:rPr>
        <w:t>以上信用查询记录，采购人将下载查询结果页面后与其他采购文件一并保存。投标人不良信用记录以采购人查询结果为准。在本招标文件规定的查询时间之外，网站信息发生的任何变更均不作为资格审查依据。投标人自行提供的与网站信息不一致的其他证明材料亦不作为资格审查依据。</w:t>
      </w:r>
    </w:p>
    <w:bookmarkEnd w:id="24"/>
    <w:p w14:paraId="5DC194CA">
      <w:pPr>
        <w:spacing w:line="360" w:lineRule="auto"/>
        <w:ind w:firstLine="435"/>
        <w:rPr>
          <w:rFonts w:asciiTheme="minorEastAsia" w:hAnsiTheme="minorEastAsia" w:eastAsiaTheme="minorEastAsia"/>
          <w:b/>
          <w:sz w:val="24"/>
        </w:rPr>
      </w:pPr>
      <w:r>
        <w:rPr>
          <w:rFonts w:hint="eastAsia" w:asciiTheme="minorEastAsia" w:hAnsiTheme="minorEastAsia" w:eastAsiaTheme="minorEastAsia"/>
          <w:sz w:val="24"/>
        </w:rPr>
        <w:t>14.3按照有关规定依法组建的</w:t>
      </w:r>
      <w:r>
        <w:rPr>
          <w:rFonts w:asciiTheme="minorEastAsia" w:hAnsiTheme="minorEastAsia" w:eastAsiaTheme="minorEastAsia"/>
          <w:sz w:val="24"/>
        </w:rPr>
        <w:t>评标委员会</w:t>
      </w:r>
      <w:r>
        <w:rPr>
          <w:rFonts w:hint="eastAsia" w:asciiTheme="minorEastAsia" w:hAnsiTheme="minorEastAsia" w:eastAsiaTheme="minorEastAsia"/>
          <w:sz w:val="24"/>
        </w:rPr>
        <w:t>，负责本项目评标工作。</w:t>
      </w:r>
    </w:p>
    <w:p w14:paraId="6675E59E">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15</w:t>
      </w:r>
      <w:r>
        <w:rPr>
          <w:rFonts w:asciiTheme="minorEastAsia" w:hAnsiTheme="minorEastAsia" w:eastAsiaTheme="minorEastAsia"/>
          <w:b/>
          <w:sz w:val="24"/>
        </w:rPr>
        <w:t>.</w:t>
      </w:r>
      <w:r>
        <w:rPr>
          <w:rFonts w:hint="eastAsia" w:asciiTheme="minorEastAsia" w:hAnsiTheme="minorEastAsia" w:eastAsiaTheme="minorEastAsia"/>
          <w:b/>
          <w:sz w:val="24"/>
        </w:rPr>
        <w:t>投标文件符合性审查与澄清</w:t>
      </w:r>
    </w:p>
    <w:p w14:paraId="53F6CF3D">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w:t>
      </w:r>
      <w:r>
        <w:rPr>
          <w:rFonts w:asciiTheme="minorEastAsia" w:hAnsiTheme="minorEastAsia" w:eastAsiaTheme="minorEastAsia"/>
          <w:sz w:val="24"/>
        </w:rPr>
        <w:t>.1符合性审查是指依据招标文件的规定，从投标文件的有效性和完整性对招标文件的响应程度</w:t>
      </w:r>
      <w:r>
        <w:rPr>
          <w:rFonts w:ascii="宋体" w:hAnsi="宋体" w:eastAsia="宋体"/>
          <w:sz w:val="24"/>
        </w:rPr>
        <w:t>进行</w:t>
      </w:r>
      <w:r>
        <w:rPr>
          <w:rFonts w:asciiTheme="minorEastAsia" w:hAnsiTheme="minorEastAsia" w:eastAsiaTheme="minorEastAsia"/>
          <w:sz w:val="24"/>
        </w:rPr>
        <w:t>审查，以确定是否对招标文件的实质性要求做出响应。</w:t>
      </w:r>
    </w:p>
    <w:p w14:paraId="3E794621">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w:t>
      </w:r>
      <w:r>
        <w:rPr>
          <w:rFonts w:asciiTheme="minorEastAsia" w:hAnsiTheme="minorEastAsia" w:eastAsiaTheme="minorEastAsia"/>
          <w:sz w:val="24"/>
        </w:rPr>
        <w:t>.2如一个标项内只有一种产品，不同投标人所投产品为同一品牌的，按如下方式处理：</w:t>
      </w:r>
    </w:p>
    <w:p w14:paraId="4D843A34">
      <w:pPr>
        <w:spacing w:line="360" w:lineRule="auto"/>
        <w:ind w:firstLine="435"/>
        <w:rPr>
          <w:rFonts w:ascii="宋体" w:hAnsi="宋体" w:eastAsia="宋体"/>
          <w:sz w:val="24"/>
        </w:rPr>
      </w:pPr>
      <w:r>
        <w:rPr>
          <w:rFonts w:hint="eastAsia" w:ascii="宋体" w:hAnsi="宋体" w:eastAsia="宋体"/>
          <w:sz w:val="24"/>
        </w:rPr>
        <w:t>15</w:t>
      </w:r>
      <w:r>
        <w:rPr>
          <w:rFonts w:ascii="宋体" w:hAnsi="宋体" w:eastAsia="宋体"/>
          <w:sz w:val="24"/>
        </w:rPr>
        <w:t>.2.1如本项目使用最低评标价法，提供相同品牌产品的不同投标人以其中通过资格审查、符合性审查且报价最低的参加评标；报价相同的，由采购人或者采购人委托评标委员会按照招标文件中评标</w:t>
      </w:r>
      <w:r>
        <w:rPr>
          <w:rFonts w:hint="eastAsia" w:ascii="宋体" w:hAnsi="宋体" w:eastAsia="宋体"/>
          <w:sz w:val="24"/>
        </w:rPr>
        <w:t>方</w:t>
      </w:r>
      <w:r>
        <w:rPr>
          <w:rFonts w:ascii="宋体" w:hAnsi="宋体" w:eastAsia="宋体"/>
          <w:sz w:val="24"/>
        </w:rPr>
        <w:t>法</w:t>
      </w:r>
      <w:r>
        <w:rPr>
          <w:rFonts w:hint="eastAsia" w:ascii="宋体" w:hAnsi="宋体" w:eastAsia="宋体"/>
          <w:sz w:val="24"/>
        </w:rPr>
        <w:t>和标准</w:t>
      </w:r>
      <w:r>
        <w:rPr>
          <w:rFonts w:ascii="宋体" w:hAnsi="宋体" w:eastAsia="宋体"/>
          <w:sz w:val="24"/>
        </w:rPr>
        <w:t>规定的方式确定一个参加评标的投标人；未规定的采取随机抽取方式确定，其他投标将被认定为</w:t>
      </w:r>
      <w:r>
        <w:rPr>
          <w:rFonts w:ascii="宋体" w:hAnsi="宋体" w:eastAsia="宋体"/>
          <w:b/>
          <w:sz w:val="24"/>
        </w:rPr>
        <w:t>投标无效</w:t>
      </w:r>
      <w:r>
        <w:rPr>
          <w:rFonts w:ascii="宋体" w:hAnsi="宋体" w:eastAsia="宋体"/>
          <w:sz w:val="24"/>
        </w:rPr>
        <w:t>。</w:t>
      </w:r>
    </w:p>
    <w:p w14:paraId="64B9AB0A">
      <w:pPr>
        <w:spacing w:line="360" w:lineRule="auto"/>
        <w:ind w:firstLine="435"/>
        <w:rPr>
          <w:rFonts w:ascii="宋体" w:hAnsi="宋体" w:eastAsia="宋体"/>
          <w:sz w:val="24"/>
        </w:rPr>
      </w:pPr>
      <w:r>
        <w:rPr>
          <w:rFonts w:hint="eastAsia" w:ascii="宋体" w:hAnsi="宋体" w:eastAsia="宋体"/>
          <w:sz w:val="24"/>
        </w:rPr>
        <w:t>15</w:t>
      </w:r>
      <w:r>
        <w:rPr>
          <w:rFonts w:ascii="宋体" w:hAnsi="宋体" w:eastAsia="宋体"/>
          <w:sz w:val="24"/>
        </w:rPr>
        <w:t>.2.2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w:t>
      </w:r>
      <w:r>
        <w:rPr>
          <w:rFonts w:hint="eastAsia" w:ascii="宋体" w:hAnsi="宋体" w:eastAsia="宋体"/>
          <w:sz w:val="24"/>
        </w:rPr>
        <w:t>方</w:t>
      </w:r>
      <w:r>
        <w:rPr>
          <w:rFonts w:ascii="宋体" w:hAnsi="宋体" w:eastAsia="宋体"/>
          <w:sz w:val="24"/>
        </w:rPr>
        <w:t>法</w:t>
      </w:r>
      <w:r>
        <w:rPr>
          <w:rFonts w:hint="eastAsia" w:ascii="宋体" w:hAnsi="宋体" w:eastAsia="宋体"/>
          <w:sz w:val="24"/>
        </w:rPr>
        <w:t>和标准</w:t>
      </w:r>
      <w:r>
        <w:rPr>
          <w:rFonts w:ascii="宋体" w:hAnsi="宋体" w:eastAsia="宋体"/>
          <w:sz w:val="24"/>
        </w:rPr>
        <w:t>规定的方式确定一个投标人获得中标人推荐资格；未规定的采取随机抽取方式确定，其他同品牌投标人不作为中标候选人。</w:t>
      </w:r>
    </w:p>
    <w:p w14:paraId="41E389C8">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w:t>
      </w:r>
      <w:r>
        <w:rPr>
          <w:rFonts w:asciiTheme="minorEastAsia" w:hAnsiTheme="minorEastAsia" w:eastAsiaTheme="minorEastAsia"/>
          <w:sz w:val="24"/>
        </w:rPr>
        <w:t>.3如一个标项内包含多种产品的，采购人将在</w:t>
      </w:r>
      <w:r>
        <w:rPr>
          <w:rFonts w:hint="eastAsia" w:asciiTheme="minorEastAsia" w:hAnsiTheme="minorEastAsia" w:eastAsiaTheme="minorEastAsia"/>
          <w:sz w:val="24"/>
        </w:rPr>
        <w:t>采购需求</w:t>
      </w:r>
      <w:r>
        <w:rPr>
          <w:rFonts w:asciiTheme="minorEastAsia" w:hAnsiTheme="minorEastAsia" w:eastAsiaTheme="minorEastAsia"/>
          <w:sz w:val="24"/>
        </w:rPr>
        <w:t>中载明核心产品，多家投标人提供的核心产品品牌相同的，按第</w:t>
      </w:r>
      <w:r>
        <w:rPr>
          <w:rFonts w:hint="eastAsia" w:asciiTheme="minorEastAsia" w:hAnsiTheme="minorEastAsia" w:eastAsiaTheme="minorEastAsia"/>
          <w:sz w:val="24"/>
        </w:rPr>
        <w:t>15</w:t>
      </w:r>
      <w:r>
        <w:rPr>
          <w:rFonts w:asciiTheme="minorEastAsia" w:hAnsiTheme="minorEastAsia" w:eastAsiaTheme="minorEastAsia"/>
          <w:sz w:val="24"/>
        </w:rPr>
        <w:t>.2</w:t>
      </w:r>
      <w:r>
        <w:rPr>
          <w:rFonts w:hint="eastAsia" w:asciiTheme="minorEastAsia" w:hAnsiTheme="minorEastAsia" w:eastAsiaTheme="minorEastAsia"/>
          <w:sz w:val="24"/>
        </w:rPr>
        <w:t>款</w:t>
      </w:r>
      <w:r>
        <w:rPr>
          <w:rFonts w:asciiTheme="minorEastAsia" w:hAnsiTheme="minorEastAsia" w:eastAsiaTheme="minorEastAsia"/>
          <w:sz w:val="24"/>
        </w:rPr>
        <w:t>规定处理。</w:t>
      </w:r>
    </w:p>
    <w:p w14:paraId="51298DC1">
      <w:pPr>
        <w:spacing w:line="360" w:lineRule="auto"/>
        <w:ind w:firstLine="435"/>
        <w:rPr>
          <w:rFonts w:ascii="宋体" w:hAnsi="宋体" w:eastAsia="宋体"/>
          <w:sz w:val="24"/>
        </w:rPr>
      </w:pPr>
      <w:r>
        <w:rPr>
          <w:rFonts w:hint="eastAsia" w:ascii="宋体" w:hAnsi="宋体" w:eastAsia="宋体"/>
          <w:sz w:val="24"/>
        </w:rPr>
        <w:t>15</w:t>
      </w:r>
      <w:r>
        <w:rPr>
          <w:rFonts w:ascii="宋体" w:hAnsi="宋体" w:eastAsia="宋体"/>
          <w:sz w:val="24"/>
        </w:rPr>
        <w:t>.4</w:t>
      </w:r>
      <w:r>
        <w:rPr>
          <w:rFonts w:hint="eastAsia" w:ascii="宋体" w:hAnsi="宋体" w:eastAsia="宋体"/>
          <w:sz w:val="24"/>
        </w:rPr>
        <w:t>投标文件的澄清</w:t>
      </w:r>
    </w:p>
    <w:p w14:paraId="4230059F">
      <w:pPr>
        <w:spacing w:line="360" w:lineRule="auto"/>
        <w:ind w:firstLine="435"/>
        <w:rPr>
          <w:rFonts w:ascii="宋体" w:hAnsi="宋体" w:eastAsia="宋体"/>
          <w:sz w:val="24"/>
        </w:rPr>
      </w:pPr>
      <w:r>
        <w:rPr>
          <w:rFonts w:hint="eastAsia" w:ascii="宋体" w:hAnsi="宋体" w:eastAsia="宋体"/>
          <w:sz w:val="24"/>
        </w:rPr>
        <w:t>15</w:t>
      </w:r>
      <w:r>
        <w:rPr>
          <w:rFonts w:ascii="宋体" w:hAnsi="宋体" w:eastAsia="宋体"/>
          <w:sz w:val="24"/>
        </w:rPr>
        <w:t>.4.1为有助于投标</w:t>
      </w:r>
      <w:r>
        <w:rPr>
          <w:rFonts w:hint="eastAsia" w:ascii="宋体" w:hAnsi="宋体" w:eastAsia="宋体"/>
          <w:sz w:val="24"/>
        </w:rPr>
        <w:t>文件</w:t>
      </w:r>
      <w:r>
        <w:rPr>
          <w:rFonts w:ascii="宋体" w:hAnsi="宋体" w:eastAsia="宋体"/>
          <w:sz w:val="24"/>
        </w:rPr>
        <w:t>的审查、评价和比较，在评标期间，评标委员会将以书面</w:t>
      </w:r>
      <w:r>
        <w:rPr>
          <w:rFonts w:hint="eastAsia" w:ascii="宋体" w:hAnsi="宋体" w:eastAsia="宋体"/>
          <w:sz w:val="24"/>
        </w:rPr>
        <w:t>方式（询标）</w:t>
      </w:r>
      <w:r>
        <w:rPr>
          <w:rFonts w:ascii="宋体" w:hAnsi="宋体" w:eastAsia="宋体"/>
          <w:sz w:val="24"/>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sz w:val="24"/>
        </w:rPr>
        <w:t>审</w:t>
      </w:r>
      <w:r>
        <w:rPr>
          <w:rFonts w:ascii="宋体" w:hAnsi="宋体" w:eastAsia="宋体"/>
          <w:sz w:val="24"/>
        </w:rPr>
        <w:t>查投标人的报价，有可能影响履约的情况作必要的澄清、说明或补正。投标人的澄清、说明或补正应在评标委员会规定的时间内以书面</w:t>
      </w:r>
      <w:r>
        <w:rPr>
          <w:rFonts w:hint="eastAsia" w:ascii="宋体" w:hAnsi="宋体" w:eastAsia="宋体"/>
          <w:sz w:val="24"/>
        </w:rPr>
        <w:t>方式</w:t>
      </w:r>
      <w:r>
        <w:rPr>
          <w:rFonts w:ascii="宋体" w:hAnsi="宋体" w:eastAsia="宋体"/>
          <w:sz w:val="24"/>
        </w:rPr>
        <w:t>进行，并不得超出投标文件范围或者改变投标文件的实质性内容。</w:t>
      </w:r>
    </w:p>
    <w:p w14:paraId="47547CCD">
      <w:pPr>
        <w:spacing w:line="360" w:lineRule="auto"/>
        <w:ind w:firstLine="435"/>
        <w:rPr>
          <w:rFonts w:ascii="宋体" w:hAnsi="宋体" w:eastAsia="宋体"/>
          <w:sz w:val="24"/>
        </w:rPr>
      </w:pPr>
      <w:r>
        <w:rPr>
          <w:rFonts w:hint="eastAsia" w:ascii="宋体" w:hAnsi="宋体" w:eastAsia="宋体"/>
          <w:sz w:val="24"/>
        </w:rPr>
        <w:t>如有询标，投标人授权代表（或法定代表人）可通过远程的方式接受线上询标，也可凭本人有效身份证明参加询标。因投标人授权代表联系不上等情形而无法接受评标委员会询标的，投标人自行承担相关风险。</w:t>
      </w:r>
    </w:p>
    <w:p w14:paraId="0F44AEB9">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w:t>
      </w:r>
      <w:r>
        <w:rPr>
          <w:rFonts w:asciiTheme="minorEastAsia" w:hAnsiTheme="minorEastAsia" w:eastAsiaTheme="minorEastAsia"/>
          <w:sz w:val="24"/>
        </w:rPr>
        <w:t>4.2</w:t>
      </w:r>
      <w:r>
        <w:rPr>
          <w:rFonts w:hint="eastAsia" w:asciiTheme="minorEastAsia" w:hAnsiTheme="minorEastAsia" w:eastAsiaTheme="minorEastAsia"/>
          <w:sz w:val="24"/>
        </w:rPr>
        <w:t>投标人的澄清、说明或补正将作为投标文件的一部分。</w:t>
      </w:r>
    </w:p>
    <w:p w14:paraId="58EFB869">
      <w:pPr>
        <w:spacing w:line="360" w:lineRule="auto"/>
        <w:ind w:firstLine="435"/>
        <w:rPr>
          <w:rFonts w:ascii="宋体" w:hAnsi="宋体" w:eastAsia="宋体"/>
          <w:sz w:val="24"/>
        </w:rPr>
      </w:pPr>
      <w:r>
        <w:rPr>
          <w:rFonts w:hint="eastAsia" w:ascii="宋体" w:hAnsi="宋体" w:eastAsia="宋体"/>
          <w:sz w:val="24"/>
        </w:rPr>
        <w:t>15.</w:t>
      </w:r>
      <w:r>
        <w:rPr>
          <w:rFonts w:ascii="宋体" w:hAnsi="宋体" w:eastAsia="宋体"/>
          <w:sz w:val="24"/>
        </w:rPr>
        <w:t>4.3评标委员会对投标人提交的澄清、说明或补正有疑问的，可以要求投标人进一步澄清、说明或补正，直至满足评标委员会的要求。</w:t>
      </w:r>
    </w:p>
    <w:p w14:paraId="7F827FBD">
      <w:pPr>
        <w:spacing w:line="360" w:lineRule="auto"/>
        <w:ind w:firstLine="435"/>
        <w:rPr>
          <w:rFonts w:ascii="宋体" w:hAnsi="宋体" w:eastAsia="宋体"/>
          <w:sz w:val="24"/>
        </w:rPr>
      </w:pPr>
      <w:r>
        <w:rPr>
          <w:rFonts w:hint="eastAsia" w:ascii="宋体" w:hAnsi="宋体" w:eastAsia="宋体"/>
          <w:sz w:val="24"/>
        </w:rPr>
        <w:t>15.</w:t>
      </w:r>
      <w:r>
        <w:rPr>
          <w:rFonts w:ascii="宋体" w:hAnsi="宋体" w:eastAsia="宋体"/>
          <w:sz w:val="24"/>
        </w:rPr>
        <w:t>5投标文件报价出现前后不一致的，按照下列规定修正：</w:t>
      </w:r>
    </w:p>
    <w:p w14:paraId="4C6B6F91">
      <w:pPr>
        <w:spacing w:line="360" w:lineRule="auto"/>
        <w:ind w:firstLine="435"/>
        <w:rPr>
          <w:rFonts w:ascii="宋体" w:hAnsi="宋体" w:eastAsia="宋体"/>
          <w:sz w:val="24"/>
        </w:rPr>
      </w:pPr>
      <w:r>
        <w:rPr>
          <w:rFonts w:ascii="宋体" w:hAnsi="宋体" w:eastAsia="宋体"/>
          <w:sz w:val="24"/>
        </w:rPr>
        <w:t>（</w:t>
      </w:r>
      <w:r>
        <w:rPr>
          <w:rFonts w:hint="eastAsia" w:ascii="宋体" w:hAnsi="宋体" w:eastAsia="宋体"/>
          <w:sz w:val="24"/>
        </w:rPr>
        <w:t>1</w:t>
      </w:r>
      <w:r>
        <w:rPr>
          <w:rFonts w:ascii="宋体" w:hAnsi="宋体" w:eastAsia="宋体"/>
          <w:sz w:val="24"/>
        </w:rPr>
        <w:t>）投标文件中开标一览表内容与投标文件中相应内容不一致的，以开标一览表为准；</w:t>
      </w:r>
    </w:p>
    <w:p w14:paraId="50A3FBE5">
      <w:pPr>
        <w:spacing w:line="360" w:lineRule="auto"/>
        <w:ind w:firstLine="435"/>
        <w:rPr>
          <w:rFonts w:ascii="宋体" w:hAnsi="宋体" w:eastAsia="宋体"/>
          <w:sz w:val="24"/>
        </w:rPr>
      </w:pPr>
      <w:r>
        <w:rPr>
          <w:rFonts w:ascii="宋体" w:hAnsi="宋体" w:eastAsia="宋体"/>
          <w:sz w:val="24"/>
        </w:rPr>
        <w:t>（</w:t>
      </w:r>
      <w:r>
        <w:rPr>
          <w:rFonts w:hint="eastAsia" w:ascii="宋体" w:hAnsi="宋体" w:eastAsia="宋体"/>
          <w:sz w:val="24"/>
        </w:rPr>
        <w:t>2</w:t>
      </w:r>
      <w:r>
        <w:rPr>
          <w:rFonts w:ascii="宋体" w:hAnsi="宋体" w:eastAsia="宋体"/>
          <w:sz w:val="24"/>
        </w:rPr>
        <w:t>）大写金额和小写金额不一致的，以大写金额为准；</w:t>
      </w:r>
    </w:p>
    <w:p w14:paraId="3E036173">
      <w:pPr>
        <w:spacing w:line="360" w:lineRule="auto"/>
        <w:ind w:firstLine="435"/>
        <w:rPr>
          <w:rFonts w:ascii="宋体" w:hAnsi="宋体" w:eastAsia="宋体"/>
          <w:sz w:val="24"/>
        </w:rPr>
      </w:pPr>
      <w:r>
        <w:rPr>
          <w:rFonts w:ascii="宋体" w:hAnsi="宋体" w:eastAsia="宋体"/>
          <w:sz w:val="24"/>
        </w:rPr>
        <w:t>（</w:t>
      </w:r>
      <w:r>
        <w:rPr>
          <w:rFonts w:hint="eastAsia" w:ascii="宋体" w:hAnsi="宋体" w:eastAsia="宋体"/>
          <w:sz w:val="24"/>
        </w:rPr>
        <w:t>3</w:t>
      </w:r>
      <w:r>
        <w:rPr>
          <w:rFonts w:ascii="宋体" w:hAnsi="宋体" w:eastAsia="宋体"/>
          <w:sz w:val="24"/>
        </w:rPr>
        <w:t>）单价金额小数点或者百分比有明显错位的，以开标一览表的总价为准，并修改单价；</w:t>
      </w:r>
    </w:p>
    <w:p w14:paraId="22BE49C7">
      <w:pPr>
        <w:spacing w:line="360" w:lineRule="auto"/>
        <w:ind w:firstLine="435"/>
        <w:rPr>
          <w:rFonts w:ascii="宋体" w:hAnsi="宋体" w:eastAsia="宋体"/>
          <w:sz w:val="24"/>
        </w:rPr>
      </w:pPr>
      <w:r>
        <w:rPr>
          <w:rFonts w:ascii="宋体" w:hAnsi="宋体" w:eastAsia="宋体"/>
          <w:sz w:val="24"/>
        </w:rPr>
        <w:t>（</w:t>
      </w:r>
      <w:r>
        <w:rPr>
          <w:rFonts w:hint="eastAsia" w:ascii="宋体" w:hAnsi="宋体" w:eastAsia="宋体"/>
          <w:sz w:val="24"/>
        </w:rPr>
        <w:t>4</w:t>
      </w:r>
      <w:r>
        <w:rPr>
          <w:rFonts w:ascii="宋体" w:hAnsi="宋体" w:eastAsia="宋体"/>
          <w:sz w:val="24"/>
        </w:rPr>
        <w:t>）总价金额与按单价汇总金额不一致的，以单价金额计算结果为准。</w:t>
      </w:r>
    </w:p>
    <w:p w14:paraId="79211854">
      <w:pPr>
        <w:spacing w:line="360" w:lineRule="auto"/>
        <w:ind w:firstLine="435"/>
        <w:rPr>
          <w:rFonts w:ascii="宋体" w:hAnsi="宋体" w:eastAsia="宋体"/>
          <w:sz w:val="24"/>
        </w:rPr>
      </w:pPr>
      <w:r>
        <w:rPr>
          <w:rFonts w:ascii="宋体" w:hAnsi="宋体" w:eastAsia="宋体"/>
          <w:sz w:val="24"/>
        </w:rPr>
        <w:t>同时出现两种以上不一致的，按照前款规定的顺序修正。修正后的报价按照第</w:t>
      </w:r>
      <w:r>
        <w:rPr>
          <w:rFonts w:hint="eastAsia" w:ascii="宋体" w:hAnsi="宋体" w:eastAsia="宋体"/>
          <w:sz w:val="24"/>
        </w:rPr>
        <w:t>15.</w:t>
      </w:r>
      <w:r>
        <w:rPr>
          <w:rFonts w:ascii="宋体" w:hAnsi="宋体" w:eastAsia="宋体"/>
          <w:sz w:val="24"/>
        </w:rPr>
        <w:t>4条的规定经投标人确认后产生约束力，投标人不确认的，其投标将被认定为</w:t>
      </w:r>
      <w:r>
        <w:rPr>
          <w:rFonts w:ascii="宋体" w:hAnsi="宋体" w:eastAsia="宋体"/>
          <w:b/>
          <w:sz w:val="24"/>
        </w:rPr>
        <w:t>投标无效</w:t>
      </w:r>
      <w:r>
        <w:rPr>
          <w:rFonts w:ascii="宋体" w:hAnsi="宋体" w:eastAsia="宋体"/>
          <w:sz w:val="24"/>
        </w:rPr>
        <w:t>。</w:t>
      </w:r>
    </w:p>
    <w:p w14:paraId="05AF41D6">
      <w:pPr>
        <w:spacing w:line="360" w:lineRule="auto"/>
        <w:ind w:firstLine="435"/>
        <w:rPr>
          <w:rFonts w:asciiTheme="minorEastAsia" w:hAnsiTheme="minorEastAsia" w:eastAsiaTheme="minorEastAsia"/>
          <w:b/>
          <w:sz w:val="24"/>
        </w:rPr>
      </w:pPr>
      <w:r>
        <w:rPr>
          <w:rFonts w:hint="eastAsia" w:asciiTheme="minorEastAsia" w:hAnsiTheme="minorEastAsia" w:eastAsiaTheme="minorEastAsia"/>
          <w:sz w:val="24"/>
        </w:rPr>
        <w:t>对不同文字文本投标文件的解释发生异议的，以中文文本为准。</w:t>
      </w:r>
    </w:p>
    <w:p w14:paraId="2F7D50D6">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16.投标无效</w:t>
      </w:r>
    </w:p>
    <w:p w14:paraId="7592EE04">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16.</w:t>
      </w:r>
      <w:r>
        <w:rPr>
          <w:rFonts w:asciiTheme="minorEastAsia" w:hAnsiTheme="minorEastAsia" w:eastAsiaTheme="minorEastAsia"/>
          <w:sz w:val="24"/>
        </w:rPr>
        <w:t>1根据本</w:t>
      </w:r>
      <w:r>
        <w:rPr>
          <w:rFonts w:hint="eastAsia" w:asciiTheme="minorEastAsia" w:hAnsiTheme="minorEastAsia" w:eastAsiaTheme="minorEastAsia"/>
          <w:sz w:val="24"/>
        </w:rPr>
        <w:t>招标文件</w:t>
      </w:r>
      <w:r>
        <w:rPr>
          <w:rFonts w:asciiTheme="minorEastAsia" w:hAnsiTheme="minorEastAsia" w:eastAsiaTheme="minorEastAsia"/>
          <w:sz w:val="24"/>
        </w:rPr>
        <w:t>的规定，评标委员会要审查每份投标文件是否实质上响应了招标文件的要求。投标人不得通过修正或撤销不符合要求的偏离，从而使其投标成为实质上响应的投标。</w:t>
      </w:r>
    </w:p>
    <w:p w14:paraId="20C20C36">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评标委员会决定投标的响应性只根据招标文件要求和投标文件内容。</w:t>
      </w:r>
    </w:p>
    <w:p w14:paraId="4F5B37BA">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无论何种原因，即使投标人投标时携带了证书材料的原件，但投标文件中未提供与之内容完全一致的复印件的，评标委员会视同其未提供。</w:t>
      </w:r>
    </w:p>
    <w:p w14:paraId="7975B8AD">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16.</w:t>
      </w:r>
      <w:r>
        <w:rPr>
          <w:rFonts w:asciiTheme="minorEastAsia" w:hAnsiTheme="minorEastAsia" w:eastAsiaTheme="minorEastAsia"/>
          <w:sz w:val="24"/>
        </w:rPr>
        <w:t>2如发现下列情况之一的，其投标将被认定为</w:t>
      </w:r>
      <w:r>
        <w:rPr>
          <w:rFonts w:asciiTheme="minorEastAsia" w:hAnsiTheme="minorEastAsia" w:eastAsiaTheme="minorEastAsia"/>
          <w:b/>
          <w:sz w:val="24"/>
        </w:rPr>
        <w:t>投标无效</w:t>
      </w:r>
      <w:r>
        <w:rPr>
          <w:rFonts w:asciiTheme="minorEastAsia" w:hAnsiTheme="minorEastAsia" w:eastAsiaTheme="minorEastAsia"/>
          <w:sz w:val="24"/>
        </w:rPr>
        <w:t>：</w:t>
      </w:r>
    </w:p>
    <w:p w14:paraId="343ACA72">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1）投标文件未按照招标文件规定要求签署、盖章的；</w:t>
      </w:r>
    </w:p>
    <w:p w14:paraId="4E754C28">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2）不具备招标文件中规定的资格要求的；</w:t>
      </w:r>
    </w:p>
    <w:p w14:paraId="04F78515">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3）报价超过招标文件中规定的预算金额或者最高限价的；</w:t>
      </w:r>
    </w:p>
    <w:p w14:paraId="26B93559">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4）投标文件含有采购人不能接受的附加条件的；</w:t>
      </w:r>
    </w:p>
    <w:p w14:paraId="2A404C15">
      <w:pPr>
        <w:spacing w:line="360" w:lineRule="auto"/>
        <w:ind w:firstLine="435"/>
        <w:rPr>
          <w:rFonts w:ascii="宋体" w:hAnsi="宋体" w:eastAsia="宋体"/>
          <w:sz w:val="24"/>
        </w:rPr>
      </w:pPr>
      <w:r>
        <w:rPr>
          <w:rFonts w:hint="eastAsia" w:asciiTheme="minorEastAsia" w:hAnsiTheme="minorEastAsia" w:eastAsiaTheme="minorEastAsia"/>
          <w:sz w:val="24"/>
        </w:rPr>
        <w:t>（</w:t>
      </w:r>
      <w:r>
        <w:rPr>
          <w:rFonts w:asciiTheme="minorEastAsia" w:hAnsiTheme="minorEastAsia" w:eastAsiaTheme="minorEastAsia"/>
          <w:sz w:val="24"/>
        </w:rPr>
        <w:t>5）法律、法规和招标文件规定的其他无效情形。</w:t>
      </w:r>
    </w:p>
    <w:p w14:paraId="7FB396AB">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17.比较与评价</w:t>
      </w:r>
    </w:p>
    <w:p w14:paraId="27A8248B">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17.1经符合性审查合格的投标文件，评标委员会将根据招标文件确定的评标方法和标准，对其投标文件作进一步的比较与评价。</w:t>
      </w:r>
    </w:p>
    <w:p w14:paraId="788EBD3D">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17.2评标严格按照</w:t>
      </w:r>
      <w:r>
        <w:rPr>
          <w:rFonts w:hint="eastAsia" w:ascii="宋体" w:hAnsi="宋体" w:eastAsia="宋体"/>
          <w:sz w:val="24"/>
        </w:rPr>
        <w:t>招标文件</w:t>
      </w:r>
      <w:r>
        <w:rPr>
          <w:rFonts w:hint="eastAsia" w:asciiTheme="minorEastAsia" w:hAnsiTheme="minorEastAsia" w:eastAsiaTheme="minorEastAsia"/>
          <w:sz w:val="24"/>
        </w:rPr>
        <w:t>的要求和条件进行。根据实际情况，在</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中规定采用下列一种评标方法，详细评标方法和标准见招标文件第四章：</w:t>
      </w:r>
    </w:p>
    <w:p w14:paraId="16FEB7B6">
      <w:pPr>
        <w:spacing w:line="360" w:lineRule="auto"/>
        <w:ind w:firstLine="435"/>
        <w:rPr>
          <w:rFonts w:ascii="宋体" w:hAnsi="宋体" w:eastAsia="宋体"/>
          <w:sz w:val="24"/>
        </w:rPr>
      </w:pPr>
      <w:r>
        <w:rPr>
          <w:rFonts w:hint="eastAsia" w:asciiTheme="minorEastAsia" w:hAnsiTheme="minorEastAsia" w:eastAsiaTheme="minorEastAsia"/>
          <w:sz w:val="24"/>
        </w:rPr>
        <w:t>（</w:t>
      </w:r>
      <w:r>
        <w:rPr>
          <w:rFonts w:hint="eastAsia" w:ascii="宋体" w:hAnsi="宋体" w:eastAsia="宋体"/>
          <w:sz w:val="24"/>
        </w:rPr>
        <w:t>1）最低评标价法，是指</w:t>
      </w:r>
      <w:r>
        <w:rPr>
          <w:rFonts w:ascii="宋体" w:hAnsi="宋体" w:eastAsia="宋体"/>
          <w:sz w:val="24"/>
        </w:rPr>
        <w:t>投标文件满足招标文件全部实质性要求</w:t>
      </w:r>
      <w:r>
        <w:rPr>
          <w:rFonts w:hint="eastAsia" w:ascii="宋体" w:hAnsi="宋体" w:eastAsia="宋体"/>
          <w:sz w:val="24"/>
        </w:rPr>
        <w:t>，</w:t>
      </w:r>
      <w:r>
        <w:rPr>
          <w:rFonts w:ascii="宋体" w:hAnsi="宋体" w:eastAsia="宋体"/>
          <w:sz w:val="24"/>
        </w:rPr>
        <w:t>且投标报价最低的</w:t>
      </w:r>
      <w:r>
        <w:rPr>
          <w:rFonts w:hint="eastAsia" w:ascii="宋体" w:hAnsi="宋体" w:eastAsia="宋体"/>
          <w:sz w:val="24"/>
        </w:rPr>
        <w:t>投标人</w:t>
      </w:r>
      <w:r>
        <w:rPr>
          <w:rFonts w:ascii="宋体" w:hAnsi="宋体" w:eastAsia="宋体"/>
          <w:sz w:val="24"/>
        </w:rPr>
        <w:t>为中标</w:t>
      </w:r>
      <w:r>
        <w:rPr>
          <w:rFonts w:hint="eastAsia" w:ascii="宋体" w:hAnsi="宋体" w:eastAsia="宋体"/>
          <w:sz w:val="24"/>
        </w:rPr>
        <w:t>候选</w:t>
      </w:r>
      <w:r>
        <w:rPr>
          <w:rFonts w:ascii="宋体" w:hAnsi="宋体" w:eastAsia="宋体"/>
          <w:sz w:val="24"/>
        </w:rPr>
        <w:t>人的评标方法</w:t>
      </w:r>
      <w:r>
        <w:rPr>
          <w:rFonts w:hint="eastAsia" w:ascii="宋体" w:hAnsi="宋体" w:eastAsia="宋体"/>
          <w:sz w:val="24"/>
        </w:rPr>
        <w:t>。</w:t>
      </w:r>
    </w:p>
    <w:p w14:paraId="44DA7FFB">
      <w:pPr>
        <w:spacing w:line="360" w:lineRule="auto"/>
        <w:ind w:firstLine="435"/>
        <w:rPr>
          <w:rFonts w:ascii="宋体" w:hAnsi="宋体" w:eastAsia="宋体"/>
          <w:sz w:val="24"/>
        </w:rPr>
      </w:pPr>
      <w:r>
        <w:rPr>
          <w:rFonts w:hint="eastAsia" w:ascii="宋体" w:hAnsi="宋体" w:eastAsia="宋体"/>
          <w:sz w:val="24"/>
        </w:rPr>
        <w:t>（2）综合评分法，是</w:t>
      </w:r>
      <w:r>
        <w:rPr>
          <w:rFonts w:ascii="宋体" w:hAnsi="宋体" w:eastAsia="宋体"/>
          <w:sz w:val="24"/>
        </w:rPr>
        <w:t>指投标文件满足招标</w:t>
      </w:r>
      <w:r>
        <w:rPr>
          <w:rFonts w:hint="eastAsia" w:ascii="宋体" w:hAnsi="宋体" w:eastAsia="宋体"/>
          <w:sz w:val="24"/>
        </w:rPr>
        <w:t>文件</w:t>
      </w:r>
      <w:r>
        <w:rPr>
          <w:rFonts w:ascii="宋体" w:hAnsi="宋体" w:eastAsia="宋体"/>
          <w:sz w:val="24"/>
        </w:rPr>
        <w:t>全部实质性要求</w:t>
      </w:r>
      <w:r>
        <w:rPr>
          <w:rFonts w:hint="eastAsia" w:ascii="宋体" w:hAnsi="宋体" w:eastAsia="宋体"/>
          <w:sz w:val="24"/>
        </w:rPr>
        <w:t>，</w:t>
      </w:r>
      <w:r>
        <w:rPr>
          <w:rFonts w:ascii="宋体" w:hAnsi="宋体" w:eastAsia="宋体"/>
          <w:sz w:val="24"/>
        </w:rPr>
        <w:t>且按照评审因素的</w:t>
      </w:r>
      <w:r>
        <w:rPr>
          <w:rFonts w:hint="eastAsia" w:ascii="宋体" w:hAnsi="宋体" w:eastAsia="宋体"/>
          <w:sz w:val="24"/>
        </w:rPr>
        <w:t>量化</w:t>
      </w:r>
      <w:r>
        <w:rPr>
          <w:rFonts w:ascii="宋体" w:hAnsi="宋体" w:eastAsia="宋体"/>
          <w:sz w:val="24"/>
        </w:rPr>
        <w:t>指标评审得分最高的</w:t>
      </w:r>
      <w:r>
        <w:rPr>
          <w:rFonts w:hint="eastAsia" w:ascii="宋体" w:hAnsi="宋体" w:eastAsia="宋体"/>
          <w:sz w:val="24"/>
        </w:rPr>
        <w:t>投标人</w:t>
      </w:r>
      <w:r>
        <w:rPr>
          <w:rFonts w:ascii="宋体" w:hAnsi="宋体" w:eastAsia="宋体"/>
          <w:sz w:val="24"/>
        </w:rPr>
        <w:t>为中标候选人的评标方法。</w:t>
      </w:r>
    </w:p>
    <w:p w14:paraId="0D6CA93D">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18</w:t>
      </w:r>
      <w:r>
        <w:rPr>
          <w:rFonts w:asciiTheme="minorEastAsia" w:hAnsiTheme="minorEastAsia" w:eastAsiaTheme="minorEastAsia"/>
          <w:b/>
          <w:sz w:val="24"/>
        </w:rPr>
        <w:t>.</w:t>
      </w:r>
      <w:r>
        <w:rPr>
          <w:rFonts w:hint="eastAsia" w:asciiTheme="minorEastAsia" w:hAnsiTheme="minorEastAsia" w:eastAsiaTheme="minorEastAsia"/>
          <w:b/>
          <w:sz w:val="24"/>
        </w:rPr>
        <w:t>废标、重新招标与变更采购方式</w:t>
      </w:r>
    </w:p>
    <w:p w14:paraId="1CA52F9A">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18.1出现下列情形之一，将导致项目废标：</w:t>
      </w:r>
    </w:p>
    <w:p w14:paraId="081FE165">
      <w:pPr>
        <w:spacing w:line="360" w:lineRule="auto"/>
        <w:ind w:firstLine="435"/>
        <w:rPr>
          <w:rFonts w:ascii="宋体" w:hAnsi="宋体" w:eastAsia="宋体"/>
          <w:sz w:val="24"/>
        </w:rPr>
      </w:pPr>
      <w:r>
        <w:rPr>
          <w:rFonts w:hint="eastAsia" w:asciiTheme="minorEastAsia" w:hAnsiTheme="minorEastAsia" w:eastAsiaTheme="minorEastAsia"/>
          <w:sz w:val="24"/>
        </w:rPr>
        <w:t>（</w:t>
      </w:r>
      <w:r>
        <w:rPr>
          <w:rFonts w:hint="eastAsia" w:ascii="宋体" w:hAnsi="宋体" w:eastAsia="宋体"/>
          <w:sz w:val="24"/>
        </w:rPr>
        <w:t>1）符合专业条件的供应商或者对招标文件做实质性响应的供应商不足规定数量的；</w:t>
      </w:r>
    </w:p>
    <w:p w14:paraId="4A1686E1">
      <w:pPr>
        <w:spacing w:line="360" w:lineRule="auto"/>
        <w:ind w:firstLine="435"/>
        <w:rPr>
          <w:rFonts w:ascii="宋体" w:hAnsi="宋体" w:eastAsia="宋体"/>
          <w:sz w:val="24"/>
        </w:rPr>
      </w:pPr>
      <w:r>
        <w:rPr>
          <w:rFonts w:hint="eastAsia" w:ascii="宋体" w:hAnsi="宋体" w:eastAsia="宋体"/>
          <w:sz w:val="24"/>
        </w:rPr>
        <w:t>（2）出现影响采购公正的违法、违规行为的；</w:t>
      </w:r>
    </w:p>
    <w:p w14:paraId="5D413F80">
      <w:pPr>
        <w:spacing w:line="360" w:lineRule="auto"/>
        <w:ind w:firstLine="435"/>
        <w:rPr>
          <w:rFonts w:ascii="宋体" w:hAnsi="宋体" w:eastAsia="宋体"/>
          <w:sz w:val="24"/>
        </w:rPr>
      </w:pPr>
      <w:r>
        <w:rPr>
          <w:rFonts w:hint="eastAsia" w:ascii="宋体" w:hAnsi="宋体" w:eastAsia="宋体"/>
          <w:sz w:val="24"/>
        </w:rPr>
        <w:t>（3）投标人的报价均超过了采购预算，采购人不能支付的；</w:t>
      </w:r>
    </w:p>
    <w:p w14:paraId="2B2E0292">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（4）因重大变故，采购任务取消的。</w:t>
      </w:r>
    </w:p>
    <w:p w14:paraId="1F255230">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18.2公开招标的采购项目，投标截止后投标人不足</w:t>
      </w:r>
      <w:r>
        <w:rPr>
          <w:rFonts w:asciiTheme="minorEastAsia" w:hAnsiTheme="minorEastAsia" w:eastAsiaTheme="minorEastAsia"/>
          <w:sz w:val="24"/>
        </w:rPr>
        <w:t>3家或者通过</w:t>
      </w:r>
      <w:r>
        <w:rPr>
          <w:rFonts w:hint="eastAsia" w:asciiTheme="minorEastAsia" w:hAnsiTheme="minorEastAsia" w:eastAsiaTheme="minorEastAsia"/>
          <w:sz w:val="24"/>
        </w:rPr>
        <w:t>资格审查或符合性审查的投标人不足</w:t>
      </w:r>
      <w:r>
        <w:rPr>
          <w:rFonts w:asciiTheme="minorEastAsia" w:hAnsiTheme="minorEastAsia" w:eastAsiaTheme="minorEastAsia"/>
          <w:sz w:val="24"/>
        </w:rPr>
        <w:t>3家的，除采购任务取消情形外，按照以下方式处理：</w:t>
      </w:r>
    </w:p>
    <w:p w14:paraId="75CEC949">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（1）招标文件存在不合理条款或者招标程序不符合规定的，采购人改正后依法重新招标；</w:t>
      </w:r>
    </w:p>
    <w:p w14:paraId="190CEB29">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（2）招标文件没有不合理条款、招标程序符合规定，需要采用其他采购方式采购的，采购人应当报</w:t>
      </w:r>
      <w:r>
        <w:rPr>
          <w:rFonts w:hint="eastAsia" w:ascii="宋体" w:hAnsi="宋体" w:eastAsia="宋体" w:cs="宋体"/>
          <w:color w:val="000000"/>
          <w:sz w:val="24"/>
          <w:szCs w:val="24"/>
        </w:rPr>
        <w:t>采购管理部门</w:t>
      </w:r>
      <w:r>
        <w:rPr>
          <w:rFonts w:hint="eastAsia" w:asciiTheme="minorEastAsia" w:hAnsiTheme="minorEastAsia" w:eastAsiaTheme="minorEastAsia"/>
          <w:sz w:val="24"/>
        </w:rPr>
        <w:t>批准。</w:t>
      </w:r>
    </w:p>
    <w:p w14:paraId="1FA63E44">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19</w:t>
      </w:r>
      <w:r>
        <w:rPr>
          <w:rFonts w:asciiTheme="minorEastAsia" w:hAnsiTheme="minorEastAsia" w:eastAsiaTheme="minorEastAsia"/>
          <w:b/>
          <w:sz w:val="24"/>
        </w:rPr>
        <w:t>.</w:t>
      </w:r>
      <w:r>
        <w:rPr>
          <w:rFonts w:hint="eastAsia" w:asciiTheme="minorEastAsia" w:hAnsiTheme="minorEastAsia" w:eastAsiaTheme="minorEastAsia"/>
          <w:b/>
          <w:sz w:val="24"/>
        </w:rPr>
        <w:t>保密要求</w:t>
      </w:r>
    </w:p>
    <w:p w14:paraId="47AF7D49">
      <w:pPr>
        <w:spacing w:line="360" w:lineRule="auto"/>
        <w:ind w:firstLine="435"/>
        <w:rPr>
          <w:rFonts w:ascii="宋体" w:hAnsi="宋体" w:eastAsia="宋体"/>
          <w:sz w:val="24"/>
        </w:rPr>
      </w:pPr>
      <w:r>
        <w:rPr>
          <w:rFonts w:hint="eastAsia" w:ascii="宋体" w:hAnsi="宋体" w:eastAsia="宋体"/>
          <w:sz w:val="24"/>
        </w:rPr>
        <w:t>19.1评标将在严格保密的情况下进行。</w:t>
      </w:r>
    </w:p>
    <w:p w14:paraId="32663768">
      <w:pPr>
        <w:spacing w:line="360" w:lineRule="auto"/>
        <w:ind w:firstLine="435"/>
        <w:rPr>
          <w:rFonts w:ascii="宋体" w:hAnsi="宋体" w:eastAsia="宋体"/>
          <w:sz w:val="24"/>
        </w:rPr>
      </w:pPr>
      <w:r>
        <w:rPr>
          <w:rFonts w:hint="eastAsia" w:ascii="宋体" w:hAnsi="宋体" w:eastAsia="宋体"/>
          <w:sz w:val="24"/>
        </w:rPr>
        <w:t>19.2有关人员</w:t>
      </w:r>
      <w:r>
        <w:rPr>
          <w:rFonts w:ascii="宋体" w:hAnsi="宋体" w:eastAsia="宋体"/>
          <w:sz w:val="24"/>
        </w:rPr>
        <w:t>应当</w:t>
      </w:r>
      <w:r>
        <w:rPr>
          <w:rFonts w:hint="eastAsia" w:ascii="宋体" w:hAnsi="宋体" w:eastAsia="宋体"/>
          <w:sz w:val="24"/>
        </w:rPr>
        <w:t>遵</w:t>
      </w:r>
      <w:r>
        <w:rPr>
          <w:rFonts w:ascii="宋体" w:hAnsi="宋体" w:eastAsia="宋体"/>
          <w:sz w:val="24"/>
        </w:rPr>
        <w:t>守评</w:t>
      </w:r>
      <w:r>
        <w:rPr>
          <w:rFonts w:hint="eastAsia" w:ascii="宋体" w:hAnsi="宋体" w:eastAsia="宋体"/>
          <w:sz w:val="24"/>
        </w:rPr>
        <w:t>标</w:t>
      </w:r>
      <w:r>
        <w:rPr>
          <w:rFonts w:ascii="宋体" w:hAnsi="宋体" w:eastAsia="宋体"/>
          <w:sz w:val="24"/>
        </w:rPr>
        <w:t>工作纪律，不得</w:t>
      </w:r>
      <w:r>
        <w:rPr>
          <w:rFonts w:hint="eastAsia" w:ascii="宋体" w:hAnsi="宋体" w:eastAsia="宋体"/>
          <w:sz w:val="24"/>
        </w:rPr>
        <w:t>泄露</w:t>
      </w:r>
      <w:r>
        <w:rPr>
          <w:rFonts w:ascii="宋体" w:hAnsi="宋体" w:eastAsia="宋体"/>
          <w:sz w:val="24"/>
        </w:rPr>
        <w:t>评</w:t>
      </w:r>
      <w:r>
        <w:rPr>
          <w:rFonts w:hint="eastAsia" w:ascii="宋体" w:hAnsi="宋体" w:eastAsia="宋体"/>
          <w:sz w:val="24"/>
        </w:rPr>
        <w:t>标文件</w:t>
      </w:r>
      <w:r>
        <w:rPr>
          <w:rFonts w:ascii="宋体" w:hAnsi="宋体" w:eastAsia="宋体"/>
          <w:sz w:val="24"/>
        </w:rPr>
        <w:t>、评</w:t>
      </w:r>
      <w:r>
        <w:rPr>
          <w:rFonts w:hint="eastAsia" w:ascii="宋体" w:hAnsi="宋体" w:eastAsia="宋体"/>
          <w:sz w:val="24"/>
        </w:rPr>
        <w:t>标</w:t>
      </w:r>
      <w:r>
        <w:rPr>
          <w:rFonts w:ascii="宋体" w:hAnsi="宋体" w:eastAsia="宋体"/>
          <w:sz w:val="24"/>
        </w:rPr>
        <w:t>情况和评</w:t>
      </w:r>
      <w:r>
        <w:rPr>
          <w:rFonts w:hint="eastAsia" w:ascii="宋体" w:hAnsi="宋体" w:eastAsia="宋体"/>
          <w:sz w:val="24"/>
        </w:rPr>
        <w:t>标</w:t>
      </w:r>
      <w:r>
        <w:rPr>
          <w:rFonts w:ascii="宋体" w:hAnsi="宋体" w:eastAsia="宋体"/>
          <w:sz w:val="24"/>
        </w:rPr>
        <w:t>中获悉的</w:t>
      </w:r>
      <w:r>
        <w:rPr>
          <w:rFonts w:hint="eastAsia" w:ascii="宋体" w:hAnsi="宋体" w:eastAsia="宋体"/>
          <w:sz w:val="24"/>
        </w:rPr>
        <w:t>国家秘密、</w:t>
      </w:r>
      <w:r>
        <w:rPr>
          <w:rFonts w:ascii="宋体" w:hAnsi="宋体" w:eastAsia="宋体"/>
          <w:sz w:val="24"/>
        </w:rPr>
        <w:t>商业秘密。</w:t>
      </w:r>
    </w:p>
    <w:p w14:paraId="16685B1D">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20</w:t>
      </w:r>
      <w:r>
        <w:rPr>
          <w:rFonts w:asciiTheme="minorEastAsia" w:hAnsiTheme="minorEastAsia" w:eastAsiaTheme="minorEastAsia"/>
          <w:b/>
          <w:sz w:val="24"/>
        </w:rPr>
        <w:t>.</w:t>
      </w:r>
      <w:r>
        <w:rPr>
          <w:rFonts w:hint="eastAsia" w:asciiTheme="minorEastAsia" w:hAnsiTheme="minorEastAsia" w:eastAsiaTheme="minorEastAsia"/>
          <w:b/>
          <w:sz w:val="24"/>
        </w:rPr>
        <w:t>中标候选人的确定原则及标准</w:t>
      </w:r>
    </w:p>
    <w:p w14:paraId="3C7C2234">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0</w:t>
      </w:r>
      <w:r>
        <w:rPr>
          <w:rFonts w:asciiTheme="minorEastAsia" w:hAnsiTheme="minorEastAsia" w:eastAsiaTheme="minorEastAsia"/>
          <w:sz w:val="24"/>
        </w:rPr>
        <w:t>.1评</w:t>
      </w:r>
      <w:r>
        <w:rPr>
          <w:rFonts w:hint="eastAsia" w:asciiTheme="minorEastAsia" w:hAnsiTheme="minorEastAsia" w:eastAsiaTheme="minorEastAsia"/>
          <w:sz w:val="24"/>
        </w:rPr>
        <w:t>标</w:t>
      </w:r>
      <w:r>
        <w:rPr>
          <w:rFonts w:asciiTheme="minorEastAsia" w:hAnsiTheme="minorEastAsia" w:eastAsiaTheme="minorEastAsia"/>
          <w:sz w:val="24"/>
        </w:rPr>
        <w:t>委员会依据本项目招标文件所约定的评标方法，对实质上响应招标文件的投标人按下列方法进行排序</w:t>
      </w:r>
      <w:r>
        <w:rPr>
          <w:rFonts w:hint="eastAsia" w:asciiTheme="minorEastAsia" w:hAnsiTheme="minorEastAsia" w:eastAsiaTheme="minorEastAsia"/>
          <w:sz w:val="24"/>
        </w:rPr>
        <w:t>，确定中标候选人</w:t>
      </w:r>
      <w:r>
        <w:rPr>
          <w:rFonts w:asciiTheme="minorEastAsia" w:hAnsiTheme="minorEastAsia" w:eastAsiaTheme="minorEastAsia"/>
          <w:sz w:val="24"/>
        </w:rPr>
        <w:t>：</w:t>
      </w:r>
    </w:p>
    <w:p w14:paraId="0139075A">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1）采用最低评标价法的，除了算术修正和落实政府采购政策需进行的价格扣除外，不对投标人的投标价格进行任何调整。评标结果按修正和扣除后的投标报价由低到高顺序排列。修正和扣除后的投标报价</w:t>
      </w:r>
      <w:r>
        <w:rPr>
          <w:rFonts w:hint="eastAsia" w:asciiTheme="minorEastAsia" w:hAnsiTheme="minorEastAsia" w:eastAsiaTheme="minorEastAsia"/>
          <w:sz w:val="24"/>
        </w:rPr>
        <w:t>出现两家或两家以上相同者，则采取评标委员会随机抽取的方式确定中标候选顺序。</w:t>
      </w:r>
    </w:p>
    <w:p w14:paraId="03DBAEBD">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2）采用综合评分法的，评标结果按评审后得分由高到低顺序排列。得分相同的，按投标报价由低到高顺序排列。得分与投标报价均相同的</w:t>
      </w:r>
      <w:r>
        <w:rPr>
          <w:rFonts w:hint="eastAsia" w:asciiTheme="minorEastAsia" w:hAnsiTheme="minorEastAsia" w:eastAsiaTheme="minorEastAsia"/>
          <w:sz w:val="24"/>
        </w:rPr>
        <w:t>，则采取评标委员会随机抽取的方式确定中标候选顺序。</w:t>
      </w:r>
    </w:p>
    <w:p w14:paraId="1DCB2E21">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21</w:t>
      </w:r>
      <w:r>
        <w:rPr>
          <w:rFonts w:asciiTheme="minorEastAsia" w:hAnsiTheme="minorEastAsia" w:eastAsiaTheme="minorEastAsia"/>
          <w:b/>
          <w:sz w:val="24"/>
        </w:rPr>
        <w:t>.</w:t>
      </w:r>
      <w:r>
        <w:rPr>
          <w:rFonts w:hint="eastAsia" w:asciiTheme="minorEastAsia" w:hAnsiTheme="minorEastAsia" w:eastAsiaTheme="minorEastAsia"/>
          <w:b/>
          <w:sz w:val="24"/>
        </w:rPr>
        <w:t>确定中标候选人和中标人</w:t>
      </w:r>
    </w:p>
    <w:p w14:paraId="16B56012">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1</w:t>
      </w:r>
      <w:r>
        <w:rPr>
          <w:rFonts w:asciiTheme="minorEastAsia" w:hAnsiTheme="minorEastAsia" w:eastAsiaTheme="minorEastAsia"/>
          <w:sz w:val="24"/>
        </w:rPr>
        <w:t>.1评标委员会将根据评标标准，按</w:t>
      </w:r>
      <w:r>
        <w:rPr>
          <w:rFonts w:asciiTheme="minorEastAsia" w:hAnsiTheme="minorEastAsia" w:eastAsiaTheme="minorEastAsia"/>
          <w:sz w:val="24"/>
          <w:u w:val="single"/>
        </w:rPr>
        <w:t>投标</w:t>
      </w:r>
      <w:r>
        <w:rPr>
          <w:rFonts w:hint="eastAsia" w:asciiTheme="minorEastAsia" w:hAnsiTheme="minorEastAsia" w:eastAsiaTheme="minorEastAsia"/>
          <w:sz w:val="24"/>
          <w:u w:val="single"/>
        </w:rPr>
        <w:t>人</w:t>
      </w:r>
      <w:r>
        <w:rPr>
          <w:rFonts w:asciiTheme="minorEastAsia" w:hAnsiTheme="minorEastAsia" w:eastAsiaTheme="minorEastAsia"/>
          <w:sz w:val="24"/>
          <w:u w:val="single"/>
        </w:rPr>
        <w:t>须知前附表</w:t>
      </w:r>
      <w:r>
        <w:rPr>
          <w:rFonts w:asciiTheme="minorEastAsia" w:hAnsiTheme="minorEastAsia" w:eastAsiaTheme="minorEastAsia"/>
          <w:sz w:val="24"/>
        </w:rPr>
        <w:t>中规定数量推荐中标候选人。</w:t>
      </w:r>
    </w:p>
    <w:p w14:paraId="47334FF1">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21.2按</w:t>
      </w:r>
      <w:r>
        <w:rPr>
          <w:rFonts w:asciiTheme="minorEastAsia" w:hAnsiTheme="minorEastAsia" w:eastAsiaTheme="minorEastAsia"/>
          <w:sz w:val="24"/>
          <w:u w:val="single"/>
        </w:rPr>
        <w:t>投标</w:t>
      </w:r>
      <w:r>
        <w:rPr>
          <w:rFonts w:hint="eastAsia" w:asciiTheme="minorEastAsia" w:hAnsiTheme="minorEastAsia" w:eastAsiaTheme="minorEastAsia"/>
          <w:sz w:val="24"/>
          <w:u w:val="single"/>
        </w:rPr>
        <w:t>人</w:t>
      </w:r>
      <w:r>
        <w:rPr>
          <w:rFonts w:asciiTheme="minorEastAsia" w:hAnsiTheme="minorEastAsia" w:eastAsiaTheme="minorEastAsia"/>
          <w:sz w:val="24"/>
          <w:u w:val="single"/>
        </w:rPr>
        <w:t>须知前附表</w:t>
      </w:r>
      <w:r>
        <w:rPr>
          <w:rFonts w:hint="eastAsia" w:asciiTheme="minorEastAsia" w:hAnsiTheme="minorEastAsia" w:eastAsiaTheme="minorEastAsia"/>
          <w:sz w:val="24"/>
        </w:rPr>
        <w:t>中规定，</w:t>
      </w:r>
      <w:r>
        <w:rPr>
          <w:rFonts w:asciiTheme="minorEastAsia" w:hAnsiTheme="minorEastAsia" w:eastAsiaTheme="minorEastAsia"/>
          <w:sz w:val="24"/>
        </w:rPr>
        <w:t>由评标委员会或采购人确定中标人。</w:t>
      </w:r>
    </w:p>
    <w:p w14:paraId="168EB7FE">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21</w:t>
      </w:r>
      <w:r>
        <w:rPr>
          <w:rFonts w:asciiTheme="minorEastAsia" w:hAnsiTheme="minorEastAsia" w:eastAsiaTheme="minorEastAsia"/>
          <w:sz w:val="24"/>
        </w:rPr>
        <w:t>.3</w:t>
      </w:r>
      <w:r>
        <w:rPr>
          <w:rFonts w:hint="eastAsia" w:asciiTheme="minorEastAsia" w:hAnsiTheme="minorEastAsia" w:eastAsiaTheme="minorEastAsia"/>
          <w:sz w:val="24"/>
        </w:rPr>
        <w:t>因重大变故采购任务取消时，采购人有权拒绝任何投标人中标，且对受影响的投标人不承担任何责任。</w:t>
      </w:r>
    </w:p>
    <w:p w14:paraId="7C354890">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22</w:t>
      </w:r>
      <w:r>
        <w:rPr>
          <w:rFonts w:asciiTheme="minorEastAsia" w:hAnsiTheme="minorEastAsia" w:eastAsiaTheme="minorEastAsia"/>
          <w:b/>
          <w:sz w:val="24"/>
        </w:rPr>
        <w:t>.</w:t>
      </w:r>
      <w:r>
        <w:rPr>
          <w:rFonts w:hint="eastAsia" w:asciiTheme="minorEastAsia" w:hAnsiTheme="minorEastAsia" w:eastAsiaTheme="minorEastAsia"/>
          <w:b/>
          <w:sz w:val="24"/>
        </w:rPr>
        <w:t>编写评标报告</w:t>
      </w:r>
    </w:p>
    <w:p w14:paraId="232DAC7B">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2A3EC161">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23</w:t>
      </w:r>
      <w:r>
        <w:rPr>
          <w:rFonts w:asciiTheme="minorEastAsia" w:hAnsiTheme="minorEastAsia" w:eastAsiaTheme="minorEastAsia"/>
          <w:b/>
          <w:sz w:val="24"/>
        </w:rPr>
        <w:t>.</w:t>
      </w:r>
      <w:r>
        <w:rPr>
          <w:rFonts w:hint="eastAsia" w:asciiTheme="minorEastAsia" w:hAnsiTheme="minorEastAsia" w:eastAsiaTheme="minorEastAsia"/>
          <w:b/>
          <w:sz w:val="24"/>
        </w:rPr>
        <w:t>中标结果公告</w:t>
      </w:r>
    </w:p>
    <w:p w14:paraId="448D5FC9">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23</w:t>
      </w:r>
      <w:r>
        <w:rPr>
          <w:rFonts w:asciiTheme="minorEastAsia" w:hAnsiTheme="minorEastAsia" w:eastAsiaTheme="minorEastAsia"/>
          <w:sz w:val="24"/>
        </w:rPr>
        <w:t>.1</w:t>
      </w:r>
      <w:r>
        <w:rPr>
          <w:rFonts w:hint="eastAsia" w:asciiTheme="minorEastAsia" w:hAnsiTheme="minorEastAsia" w:eastAsiaTheme="minorEastAsia"/>
          <w:sz w:val="24"/>
        </w:rPr>
        <w:t>除</w:t>
      </w:r>
      <w:r>
        <w:rPr>
          <w:rFonts w:asciiTheme="minorEastAsia" w:hAnsiTheme="minorEastAsia" w:eastAsiaTheme="minorEastAsia"/>
          <w:sz w:val="24"/>
          <w:u w:val="single"/>
        </w:rPr>
        <w:t>投标</w:t>
      </w:r>
      <w:r>
        <w:rPr>
          <w:rFonts w:hint="eastAsia" w:asciiTheme="minorEastAsia" w:hAnsiTheme="minorEastAsia" w:eastAsiaTheme="minorEastAsia"/>
          <w:sz w:val="24"/>
          <w:u w:val="single"/>
        </w:rPr>
        <w:t>人</w:t>
      </w:r>
      <w:r>
        <w:rPr>
          <w:rFonts w:asciiTheme="minorEastAsia" w:hAnsiTheme="minorEastAsia" w:eastAsiaTheme="minorEastAsia"/>
          <w:sz w:val="24"/>
          <w:u w:val="single"/>
        </w:rPr>
        <w:t>须知前附表</w:t>
      </w:r>
      <w:r>
        <w:rPr>
          <w:rFonts w:asciiTheme="minorEastAsia" w:hAnsiTheme="minorEastAsia" w:eastAsiaTheme="minorEastAsia"/>
          <w:sz w:val="24"/>
        </w:rPr>
        <w:t>规定由评标委员会直接确定中标</w:t>
      </w:r>
      <w:r>
        <w:rPr>
          <w:rFonts w:hint="eastAsia" w:asciiTheme="minorEastAsia" w:hAnsiTheme="minorEastAsia" w:eastAsiaTheme="minorEastAsia"/>
          <w:sz w:val="24"/>
        </w:rPr>
        <w:t>人外，</w:t>
      </w:r>
      <w:r>
        <w:rPr>
          <w:rFonts w:asciiTheme="minorEastAsia" w:hAnsiTheme="minorEastAsia" w:eastAsiaTheme="minorEastAsia"/>
          <w:sz w:val="24"/>
        </w:rPr>
        <w:t>在评标结束后2个工作日内</w:t>
      </w:r>
      <w:r>
        <w:rPr>
          <w:rFonts w:hint="eastAsia" w:asciiTheme="minorEastAsia" w:hAnsiTheme="minorEastAsia" w:eastAsiaTheme="minorEastAsia"/>
          <w:sz w:val="24"/>
        </w:rPr>
        <w:t>，</w:t>
      </w:r>
      <w:r>
        <w:rPr>
          <w:rFonts w:asciiTheme="minorEastAsia" w:hAnsiTheme="minorEastAsia" w:eastAsiaTheme="minorEastAsia"/>
          <w:sz w:val="24"/>
        </w:rPr>
        <w:t>将评标报告送采购人。采购人应当自收到评标报告之日起</w:t>
      </w:r>
      <w:r>
        <w:rPr>
          <w:rFonts w:hint="eastAsia" w:asciiTheme="minorEastAsia" w:hAnsiTheme="minorEastAsia" w:eastAsiaTheme="minorEastAsia"/>
          <w:sz w:val="24"/>
        </w:rPr>
        <w:t>5</w:t>
      </w:r>
      <w:r>
        <w:rPr>
          <w:rFonts w:asciiTheme="minorEastAsia" w:hAnsiTheme="minorEastAsia" w:eastAsiaTheme="minorEastAsia"/>
          <w:sz w:val="24"/>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7EA068AC">
      <w:pPr>
        <w:spacing w:line="360" w:lineRule="auto"/>
        <w:ind w:firstLine="435"/>
        <w:rPr>
          <w:rFonts w:ascii="宋体" w:hAnsi="宋体" w:eastAsia="宋体"/>
          <w:sz w:val="24"/>
          <w:szCs w:val="18"/>
        </w:rPr>
      </w:pPr>
      <w:r>
        <w:rPr>
          <w:rFonts w:hint="eastAsia" w:asciiTheme="minorEastAsia" w:hAnsiTheme="minorEastAsia" w:eastAsiaTheme="minorEastAsia"/>
          <w:sz w:val="24"/>
        </w:rPr>
        <w:t>23</w:t>
      </w:r>
      <w:r>
        <w:rPr>
          <w:rFonts w:asciiTheme="minorEastAsia" w:hAnsiTheme="minorEastAsia" w:eastAsiaTheme="minorEastAsia"/>
          <w:sz w:val="24"/>
        </w:rPr>
        <w:t>.2</w:t>
      </w:r>
      <w:r>
        <w:rPr>
          <w:rFonts w:hint="eastAsia" w:ascii="宋体" w:hAnsi="宋体" w:eastAsia="宋体"/>
          <w:sz w:val="24"/>
          <w:szCs w:val="18"/>
        </w:rPr>
        <w:t>自中标人确定之日起2个工作日内，采购人将在宁波通商银行官网（www.</w:t>
      </w:r>
      <w:r>
        <w:rPr>
          <w:rFonts w:ascii="宋体" w:hAnsi="宋体" w:eastAsia="宋体"/>
          <w:sz w:val="24"/>
          <w:szCs w:val="18"/>
        </w:rPr>
        <w:t>ncbank</w:t>
      </w:r>
      <w:r>
        <w:rPr>
          <w:rFonts w:hint="eastAsia" w:ascii="宋体" w:hAnsi="宋体" w:eastAsia="宋体"/>
          <w:sz w:val="24"/>
          <w:szCs w:val="18"/>
        </w:rPr>
        <w:t>.cn）上发布中标结果公告。</w:t>
      </w:r>
    </w:p>
    <w:p w14:paraId="6ADC99B3">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23.3</w:t>
      </w:r>
      <w:r>
        <w:rPr>
          <w:rFonts w:asciiTheme="minorEastAsia" w:hAnsiTheme="minorEastAsia" w:eastAsiaTheme="minorEastAsia"/>
          <w:sz w:val="24"/>
        </w:rPr>
        <w:t>中标结果公告内容应当包括采购人名称、地址、联系方式，项目名称和项目编号，中标人名称、地址和中标金额，主要中标标的的名称、规格型号、数量</w:t>
      </w:r>
      <w:r>
        <w:rPr>
          <w:rFonts w:hint="eastAsia" w:asciiTheme="minorEastAsia" w:hAnsiTheme="minorEastAsia" w:eastAsiaTheme="minorEastAsia"/>
          <w:sz w:val="24"/>
        </w:rPr>
        <w:t>等</w:t>
      </w:r>
      <w:r>
        <w:rPr>
          <w:rFonts w:asciiTheme="minorEastAsia" w:hAnsiTheme="minorEastAsia" w:eastAsiaTheme="minorEastAsia"/>
          <w:sz w:val="24"/>
        </w:rPr>
        <w:t>内容。中标公告期限为1个工作日。</w:t>
      </w:r>
    </w:p>
    <w:p w14:paraId="2C0154C0">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24</w:t>
      </w:r>
      <w:r>
        <w:rPr>
          <w:rFonts w:asciiTheme="minorEastAsia" w:hAnsiTheme="minorEastAsia" w:eastAsiaTheme="minorEastAsia"/>
          <w:b/>
          <w:sz w:val="24"/>
        </w:rPr>
        <w:t>.</w:t>
      </w:r>
      <w:r>
        <w:rPr>
          <w:rFonts w:hint="eastAsia" w:asciiTheme="minorEastAsia" w:hAnsiTheme="minorEastAsia" w:eastAsiaTheme="minorEastAsia"/>
          <w:b/>
          <w:sz w:val="24"/>
        </w:rPr>
        <w:t>中标通知书</w:t>
      </w:r>
    </w:p>
    <w:p w14:paraId="4A1D12CE">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4</w:t>
      </w:r>
      <w:r>
        <w:rPr>
          <w:rFonts w:asciiTheme="minorEastAsia" w:hAnsiTheme="minorEastAsia" w:eastAsiaTheme="minorEastAsia"/>
          <w:sz w:val="24"/>
        </w:rPr>
        <w:t>.1采购人</w:t>
      </w:r>
      <w:r>
        <w:rPr>
          <w:rFonts w:ascii="宋体" w:hAnsi="宋体" w:eastAsia="宋体"/>
          <w:sz w:val="24"/>
        </w:rPr>
        <w:t>发布</w:t>
      </w:r>
      <w:r>
        <w:rPr>
          <w:rFonts w:asciiTheme="minorEastAsia" w:hAnsiTheme="minorEastAsia" w:eastAsiaTheme="minorEastAsia"/>
          <w:sz w:val="24"/>
        </w:rPr>
        <w:t>中标结果公告</w:t>
      </w:r>
      <w:r>
        <w:rPr>
          <w:rFonts w:hint="eastAsia" w:asciiTheme="minorEastAsia" w:hAnsiTheme="minorEastAsia" w:eastAsiaTheme="minorEastAsia"/>
          <w:iCs/>
          <w:sz w:val="24"/>
        </w:rPr>
        <w:t>的</w:t>
      </w:r>
      <w:r>
        <w:rPr>
          <w:rFonts w:asciiTheme="minorEastAsia" w:hAnsiTheme="minorEastAsia" w:eastAsiaTheme="minorEastAsia"/>
          <w:sz w:val="24"/>
        </w:rPr>
        <w:t>同时向中标人发出中标通知书。</w:t>
      </w:r>
    </w:p>
    <w:p w14:paraId="5867467F">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4</w:t>
      </w:r>
      <w:r>
        <w:rPr>
          <w:rFonts w:asciiTheme="minorEastAsia" w:hAnsiTheme="minorEastAsia" w:eastAsiaTheme="minorEastAsia"/>
          <w:sz w:val="24"/>
        </w:rPr>
        <w:t>.2中标通知书对采购人和中标</w:t>
      </w:r>
      <w:r>
        <w:rPr>
          <w:rFonts w:hint="eastAsia" w:asciiTheme="minorEastAsia" w:hAnsiTheme="minorEastAsia" w:eastAsiaTheme="minorEastAsia"/>
          <w:sz w:val="24"/>
        </w:rPr>
        <w:t>人</w:t>
      </w:r>
      <w:r>
        <w:rPr>
          <w:rFonts w:asciiTheme="minorEastAsia" w:hAnsiTheme="minorEastAsia" w:eastAsiaTheme="minorEastAsia"/>
          <w:sz w:val="24"/>
        </w:rPr>
        <w:t>具有同等法律效力。中标通知书发出以后，采购人改变中标结果或者中标</w:t>
      </w:r>
      <w:r>
        <w:rPr>
          <w:rFonts w:hint="eastAsia" w:asciiTheme="minorEastAsia" w:hAnsiTheme="minorEastAsia" w:eastAsiaTheme="minorEastAsia"/>
          <w:sz w:val="24"/>
        </w:rPr>
        <w:t>人</w:t>
      </w:r>
      <w:r>
        <w:rPr>
          <w:rFonts w:asciiTheme="minorEastAsia" w:hAnsiTheme="minorEastAsia" w:eastAsiaTheme="minorEastAsia"/>
          <w:sz w:val="24"/>
        </w:rPr>
        <w:t>放弃中标，应当承担相应的法律责任。</w:t>
      </w:r>
    </w:p>
    <w:p w14:paraId="0D0851ED">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4</w:t>
      </w:r>
      <w:r>
        <w:rPr>
          <w:rFonts w:asciiTheme="minorEastAsia" w:hAnsiTheme="minorEastAsia" w:eastAsiaTheme="minorEastAsia"/>
          <w:sz w:val="24"/>
        </w:rPr>
        <w:t>.3中标通知书是</w:t>
      </w:r>
      <w:r>
        <w:rPr>
          <w:rFonts w:ascii="宋体" w:hAnsi="宋体" w:eastAsia="宋体"/>
          <w:sz w:val="24"/>
        </w:rPr>
        <w:t>合同</w:t>
      </w:r>
      <w:r>
        <w:rPr>
          <w:rFonts w:asciiTheme="minorEastAsia" w:hAnsiTheme="minorEastAsia" w:eastAsiaTheme="minorEastAsia"/>
          <w:sz w:val="24"/>
        </w:rPr>
        <w:t>的组成部分。</w:t>
      </w:r>
    </w:p>
    <w:p w14:paraId="133BB822">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25</w:t>
      </w:r>
      <w:r>
        <w:rPr>
          <w:rFonts w:asciiTheme="minorEastAsia" w:hAnsiTheme="minorEastAsia" w:eastAsiaTheme="minorEastAsia"/>
          <w:b/>
          <w:sz w:val="24"/>
        </w:rPr>
        <w:t>.</w:t>
      </w:r>
      <w:r>
        <w:rPr>
          <w:rFonts w:hint="eastAsia" w:asciiTheme="minorEastAsia" w:hAnsiTheme="minorEastAsia" w:eastAsiaTheme="minorEastAsia"/>
          <w:b/>
          <w:sz w:val="24"/>
        </w:rPr>
        <w:t>告知招标结果</w:t>
      </w:r>
    </w:p>
    <w:p w14:paraId="7513AB51">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25</w:t>
      </w:r>
      <w:r>
        <w:rPr>
          <w:rFonts w:asciiTheme="minorEastAsia" w:hAnsiTheme="minorEastAsia" w:eastAsiaTheme="minorEastAsia"/>
          <w:sz w:val="24"/>
        </w:rPr>
        <w:t>.1</w:t>
      </w:r>
      <w:r>
        <w:rPr>
          <w:rFonts w:hint="eastAsia" w:asciiTheme="minorEastAsia" w:hAnsiTheme="minorEastAsia" w:eastAsiaTheme="minorEastAsia"/>
          <w:sz w:val="24"/>
        </w:rPr>
        <w:t>在公告</w:t>
      </w:r>
      <w:r>
        <w:rPr>
          <w:rFonts w:asciiTheme="minorEastAsia" w:hAnsiTheme="minorEastAsia" w:eastAsiaTheme="minorEastAsia"/>
          <w:sz w:val="24"/>
        </w:rPr>
        <w:t>中标结果的同时，采购人同时以</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规定的</w:t>
      </w:r>
      <w:r>
        <w:rPr>
          <w:rFonts w:asciiTheme="minorEastAsia" w:hAnsiTheme="minorEastAsia" w:eastAsiaTheme="minorEastAsia"/>
          <w:sz w:val="24"/>
        </w:rPr>
        <w:t>形式</w:t>
      </w:r>
      <w:r>
        <w:rPr>
          <w:rFonts w:hint="eastAsia" w:asciiTheme="minorEastAsia" w:hAnsiTheme="minorEastAsia" w:eastAsiaTheme="minorEastAsia"/>
          <w:sz w:val="24"/>
        </w:rPr>
        <w:t>告知未通过资格审查的投标人未通过的原因；采用综合评分法评审的，还将告知未中标人本人的评审得分和排序。</w:t>
      </w:r>
    </w:p>
    <w:p w14:paraId="0EA040C2">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26</w:t>
      </w:r>
      <w:r>
        <w:rPr>
          <w:rFonts w:asciiTheme="minorEastAsia" w:hAnsiTheme="minorEastAsia" w:eastAsiaTheme="minorEastAsia"/>
          <w:b/>
          <w:sz w:val="24"/>
        </w:rPr>
        <w:t>.</w:t>
      </w:r>
      <w:r>
        <w:rPr>
          <w:rFonts w:hint="eastAsia" w:asciiTheme="minorEastAsia" w:hAnsiTheme="minorEastAsia" w:eastAsiaTheme="minorEastAsia"/>
          <w:b/>
          <w:sz w:val="24"/>
        </w:rPr>
        <w:t>履约保证金</w:t>
      </w:r>
    </w:p>
    <w:p w14:paraId="34E10F8B">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26.1中标人应按照</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规定缴纳履约保证金。</w:t>
      </w:r>
    </w:p>
    <w:p w14:paraId="391E22C2">
      <w:pPr>
        <w:spacing w:line="360" w:lineRule="auto"/>
        <w:ind w:firstLine="435"/>
        <w:rPr>
          <w:rFonts w:asciiTheme="minorEastAsia" w:hAnsiTheme="minorEastAsia" w:eastAsiaTheme="minorEastAsia"/>
          <w:b/>
          <w:sz w:val="24"/>
        </w:rPr>
      </w:pPr>
      <w:r>
        <w:rPr>
          <w:rFonts w:hint="eastAsia" w:asciiTheme="minorEastAsia" w:hAnsiTheme="minorEastAsia" w:eastAsiaTheme="minorEastAsia"/>
          <w:sz w:val="24"/>
        </w:rPr>
        <w:t>26.</w:t>
      </w:r>
      <w:r>
        <w:rPr>
          <w:rFonts w:asciiTheme="minorEastAsia" w:hAnsiTheme="minorEastAsia" w:eastAsiaTheme="minorEastAsia"/>
          <w:sz w:val="24"/>
        </w:rPr>
        <w:t>2</w:t>
      </w:r>
      <w:r>
        <w:rPr>
          <w:rFonts w:hint="eastAsia" w:ascii="宋体" w:hAnsi="宋体" w:eastAsia="宋体"/>
          <w:sz w:val="24"/>
        </w:rPr>
        <w:t>如果</w:t>
      </w:r>
      <w:r>
        <w:rPr>
          <w:rFonts w:hint="eastAsia" w:asciiTheme="minorEastAsia" w:hAnsiTheme="minorEastAsia" w:eastAsiaTheme="minorEastAsia"/>
          <w:sz w:val="24"/>
        </w:rPr>
        <w:t>中标人没有按照上述履约保证金的规定执行，将视为放弃中标资格。在此情况下，采购人可</w:t>
      </w:r>
      <w:r>
        <w:rPr>
          <w:rFonts w:asciiTheme="minorEastAsia" w:hAnsiTheme="minorEastAsia" w:eastAsiaTheme="minorEastAsia"/>
          <w:sz w:val="24"/>
        </w:rPr>
        <w:t>确定下一</w:t>
      </w:r>
      <w:r>
        <w:rPr>
          <w:rFonts w:hint="eastAsia" w:ascii="宋体" w:hAnsi="宋体" w:eastAsia="宋体"/>
          <w:sz w:val="24"/>
        </w:rPr>
        <w:t>中标</w:t>
      </w:r>
      <w:r>
        <w:rPr>
          <w:rFonts w:hint="eastAsia" w:asciiTheme="minorEastAsia" w:hAnsiTheme="minorEastAsia" w:eastAsiaTheme="minorEastAsia"/>
          <w:sz w:val="24"/>
        </w:rPr>
        <w:t>候选</w:t>
      </w:r>
      <w:r>
        <w:rPr>
          <w:rFonts w:asciiTheme="minorEastAsia" w:hAnsiTheme="minorEastAsia" w:eastAsiaTheme="minorEastAsia"/>
          <w:sz w:val="24"/>
        </w:rPr>
        <w:t>人为中标</w:t>
      </w:r>
      <w:r>
        <w:rPr>
          <w:rFonts w:hint="eastAsia" w:asciiTheme="minorEastAsia" w:hAnsiTheme="minorEastAsia" w:eastAsiaTheme="minorEastAsia"/>
          <w:sz w:val="24"/>
        </w:rPr>
        <w:t>人</w:t>
      </w:r>
      <w:r>
        <w:rPr>
          <w:rFonts w:asciiTheme="minorEastAsia" w:hAnsiTheme="minorEastAsia" w:eastAsiaTheme="minorEastAsia"/>
          <w:sz w:val="24"/>
        </w:rPr>
        <w:t>，也可以重新开展采购活动。</w:t>
      </w:r>
    </w:p>
    <w:p w14:paraId="54284F75">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27</w:t>
      </w:r>
      <w:r>
        <w:rPr>
          <w:rFonts w:asciiTheme="minorEastAsia" w:hAnsiTheme="minorEastAsia" w:eastAsiaTheme="minorEastAsia"/>
          <w:b/>
          <w:sz w:val="24"/>
        </w:rPr>
        <w:t>.</w:t>
      </w:r>
      <w:r>
        <w:rPr>
          <w:rFonts w:hint="eastAsia" w:asciiTheme="minorEastAsia" w:hAnsiTheme="minorEastAsia" w:eastAsiaTheme="minorEastAsia"/>
          <w:b/>
          <w:sz w:val="24"/>
        </w:rPr>
        <w:t>签订合同</w:t>
      </w:r>
    </w:p>
    <w:p w14:paraId="297D1352">
      <w:pPr>
        <w:spacing w:line="360" w:lineRule="auto"/>
        <w:ind w:firstLine="435"/>
        <w:rPr>
          <w:rFonts w:ascii="宋体" w:hAnsi="宋体" w:eastAsia="宋体"/>
          <w:sz w:val="24"/>
        </w:rPr>
      </w:pPr>
      <w:r>
        <w:rPr>
          <w:rFonts w:hint="eastAsia" w:ascii="宋体" w:hAnsi="宋体" w:eastAsia="宋体"/>
          <w:sz w:val="24"/>
        </w:rPr>
        <w:t>27.1</w:t>
      </w:r>
      <w:r>
        <w:rPr>
          <w:rFonts w:hint="eastAsia" w:ascii="宋体" w:hAnsi="宋体" w:eastAsia="宋体" w:cs="宋体"/>
          <w:sz w:val="24"/>
          <w:szCs w:val="24"/>
        </w:rPr>
        <w:t>采购人与中标人应当按照</w:t>
      </w:r>
      <w:r>
        <w:rPr>
          <w:rFonts w:hint="eastAsia" w:ascii="宋体" w:hAnsi="宋体" w:eastAsia="宋体" w:cs="宋体"/>
          <w:sz w:val="24"/>
          <w:szCs w:val="24"/>
          <w:u w:val="single"/>
        </w:rPr>
        <w:t>投标人须知前附表</w:t>
      </w:r>
      <w:r>
        <w:rPr>
          <w:rFonts w:hint="eastAsia" w:ascii="宋体" w:hAnsi="宋体" w:eastAsia="宋体" w:cs="宋体"/>
          <w:sz w:val="24"/>
          <w:szCs w:val="24"/>
        </w:rPr>
        <w:t>规定的时间内完成采购合同签订及合同公告。</w:t>
      </w:r>
    </w:p>
    <w:p w14:paraId="3E5B0622">
      <w:pPr>
        <w:spacing w:line="360" w:lineRule="auto"/>
        <w:ind w:firstLine="435"/>
        <w:rPr>
          <w:rFonts w:ascii="宋体" w:hAnsi="宋体" w:eastAsia="宋体"/>
          <w:sz w:val="24"/>
        </w:rPr>
      </w:pPr>
      <w:r>
        <w:rPr>
          <w:rFonts w:hint="eastAsia" w:ascii="宋体" w:hAnsi="宋体" w:eastAsia="宋体"/>
          <w:sz w:val="24"/>
        </w:rPr>
        <w:t>27.2招标文件、中标人的投标文件及其澄清文件等，均为签订合同的依据。</w:t>
      </w:r>
    </w:p>
    <w:p w14:paraId="45071BEB">
      <w:pPr>
        <w:spacing w:line="360" w:lineRule="auto"/>
        <w:ind w:firstLine="435"/>
        <w:rPr>
          <w:rFonts w:ascii="宋体" w:hAnsi="宋体" w:eastAsia="宋体"/>
          <w:sz w:val="24"/>
        </w:rPr>
      </w:pPr>
      <w:r>
        <w:rPr>
          <w:rFonts w:hint="eastAsia" w:ascii="宋体" w:hAnsi="宋体" w:eastAsia="宋体"/>
          <w:sz w:val="24"/>
        </w:rPr>
        <w:t>27.3中</w:t>
      </w:r>
      <w:r>
        <w:rPr>
          <w:rFonts w:ascii="宋体" w:hAnsi="宋体" w:eastAsia="宋体"/>
          <w:sz w:val="24"/>
        </w:rPr>
        <w:t>标</w:t>
      </w:r>
      <w:r>
        <w:rPr>
          <w:rFonts w:hint="eastAsia" w:ascii="宋体" w:hAnsi="宋体" w:eastAsia="宋体"/>
          <w:sz w:val="24"/>
        </w:rPr>
        <w:t>人</w:t>
      </w:r>
      <w:r>
        <w:rPr>
          <w:rFonts w:ascii="宋体" w:hAnsi="宋体" w:eastAsia="宋体"/>
          <w:sz w:val="24"/>
        </w:rPr>
        <w:t>拒绝与采购人签订合同的，采购人可以按照评审报告推荐的中标候选人</w:t>
      </w:r>
      <w:r>
        <w:rPr>
          <w:rFonts w:hint="eastAsia" w:ascii="宋体" w:hAnsi="宋体" w:eastAsia="宋体"/>
          <w:sz w:val="24"/>
        </w:rPr>
        <w:t>名单</w:t>
      </w:r>
      <w:r>
        <w:rPr>
          <w:rFonts w:ascii="宋体" w:hAnsi="宋体" w:eastAsia="宋体"/>
          <w:sz w:val="24"/>
        </w:rPr>
        <w:t>排序</w:t>
      </w:r>
      <w:r>
        <w:rPr>
          <w:rFonts w:hint="eastAsia" w:ascii="宋体" w:hAnsi="宋体" w:eastAsia="宋体"/>
          <w:sz w:val="24"/>
        </w:rPr>
        <w:t>，</w:t>
      </w:r>
      <w:r>
        <w:rPr>
          <w:rFonts w:ascii="宋体" w:hAnsi="宋体" w:eastAsia="宋体"/>
          <w:sz w:val="24"/>
        </w:rPr>
        <w:t>确定下一</w:t>
      </w:r>
      <w:r>
        <w:rPr>
          <w:rFonts w:hint="eastAsia" w:ascii="宋体" w:hAnsi="宋体" w:eastAsia="宋体"/>
          <w:sz w:val="24"/>
        </w:rPr>
        <w:t>中标候选</w:t>
      </w:r>
      <w:r>
        <w:rPr>
          <w:rFonts w:ascii="宋体" w:hAnsi="宋体" w:eastAsia="宋体"/>
          <w:sz w:val="24"/>
        </w:rPr>
        <w:t>人为中标</w:t>
      </w:r>
      <w:r>
        <w:rPr>
          <w:rFonts w:hint="eastAsia" w:ascii="宋体" w:hAnsi="宋体" w:eastAsia="宋体"/>
          <w:sz w:val="24"/>
        </w:rPr>
        <w:t>人</w:t>
      </w:r>
      <w:r>
        <w:rPr>
          <w:rFonts w:ascii="宋体" w:hAnsi="宋体" w:eastAsia="宋体"/>
          <w:sz w:val="24"/>
        </w:rPr>
        <w:t>，也可以重新开展采购活动。</w:t>
      </w:r>
    </w:p>
    <w:p w14:paraId="3CC6F0D8">
      <w:pPr>
        <w:spacing w:line="360" w:lineRule="auto"/>
        <w:ind w:firstLine="437"/>
        <w:outlineLvl w:val="2"/>
        <w:rPr>
          <w:rFonts w:asciiTheme="minorEastAsia" w:hAnsiTheme="minorEastAsia" w:eastAsiaTheme="minorEastAsia"/>
          <w:b/>
          <w:sz w:val="24"/>
        </w:rPr>
      </w:pPr>
      <w:bookmarkStart w:id="25" w:name="_Toc518923100"/>
      <w:bookmarkStart w:id="26" w:name="_Toc2583661"/>
      <w:r>
        <w:rPr>
          <w:rFonts w:hint="eastAsia" w:asciiTheme="minorEastAsia" w:hAnsiTheme="minorEastAsia" w:eastAsiaTheme="minorEastAsia"/>
          <w:b/>
          <w:sz w:val="24"/>
        </w:rPr>
        <w:t>2</w:t>
      </w:r>
      <w:r>
        <w:rPr>
          <w:rFonts w:asciiTheme="minorEastAsia" w:hAnsiTheme="minorEastAsia" w:eastAsiaTheme="minorEastAsia"/>
          <w:b/>
          <w:sz w:val="24"/>
        </w:rPr>
        <w:t>8</w:t>
      </w:r>
      <w:r>
        <w:rPr>
          <w:rFonts w:hint="eastAsia" w:asciiTheme="minorEastAsia" w:hAnsiTheme="minorEastAsia" w:eastAsiaTheme="minorEastAsia"/>
          <w:b/>
          <w:sz w:val="24"/>
        </w:rPr>
        <w:t>.廉洁自律</w:t>
      </w:r>
      <w:r>
        <w:rPr>
          <w:rFonts w:asciiTheme="minorEastAsia" w:hAnsiTheme="minorEastAsia" w:eastAsiaTheme="minorEastAsia"/>
          <w:b/>
          <w:sz w:val="24"/>
        </w:rPr>
        <w:t>规定</w:t>
      </w:r>
      <w:bookmarkEnd w:id="25"/>
      <w:bookmarkEnd w:id="26"/>
    </w:p>
    <w:p w14:paraId="37126C94">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8</w:t>
      </w:r>
      <w:r>
        <w:rPr>
          <w:rFonts w:hint="eastAsia" w:ascii="宋体" w:hAnsi="宋体" w:eastAsia="宋体"/>
          <w:sz w:val="24"/>
        </w:rPr>
        <w:t>.</w:t>
      </w:r>
      <w:r>
        <w:rPr>
          <w:rFonts w:ascii="宋体" w:hAnsi="宋体" w:eastAsia="宋体"/>
          <w:sz w:val="24"/>
        </w:rPr>
        <w:t>1</w:t>
      </w:r>
      <w:r>
        <w:rPr>
          <w:rFonts w:hint="eastAsia" w:ascii="宋体" w:hAnsi="宋体" w:eastAsia="宋体"/>
          <w:sz w:val="24"/>
        </w:rPr>
        <w:t>采购人工作人员不得接受供应商组织的宴请、旅游、娱乐，不得收受礼品、现金、有价证券等，不得向供应商报销应当由个人承担的费用。</w:t>
      </w:r>
    </w:p>
    <w:p w14:paraId="58DC4900">
      <w:pPr>
        <w:spacing w:line="360" w:lineRule="auto"/>
        <w:ind w:firstLine="437"/>
        <w:outlineLvl w:val="2"/>
        <w:rPr>
          <w:rFonts w:asciiTheme="minorEastAsia" w:hAnsiTheme="minorEastAsia" w:eastAsiaTheme="minorEastAsia"/>
          <w:b/>
          <w:sz w:val="24"/>
        </w:rPr>
      </w:pPr>
      <w:bookmarkStart w:id="27" w:name="_Toc518923101"/>
      <w:bookmarkStart w:id="28" w:name="_Toc2583662"/>
      <w:r>
        <w:rPr>
          <w:rFonts w:asciiTheme="minorEastAsia" w:hAnsiTheme="minorEastAsia" w:eastAsiaTheme="minorEastAsia"/>
          <w:b/>
          <w:sz w:val="24"/>
        </w:rPr>
        <w:t>2</w:t>
      </w:r>
      <w:r>
        <w:rPr>
          <w:rFonts w:hint="eastAsia" w:asciiTheme="minorEastAsia" w:hAnsiTheme="minorEastAsia" w:eastAsiaTheme="minorEastAsia"/>
          <w:b/>
          <w:sz w:val="24"/>
        </w:rPr>
        <w:t>9.人员回避</w:t>
      </w:r>
      <w:bookmarkEnd w:id="27"/>
      <w:bookmarkEnd w:id="28"/>
    </w:p>
    <w:p w14:paraId="15E959AC">
      <w:pPr>
        <w:spacing w:line="360" w:lineRule="auto"/>
        <w:ind w:firstLine="437"/>
        <w:outlineLvl w:val="2"/>
        <w:rPr>
          <w:rFonts w:ascii="宋体" w:hAnsi="宋体" w:eastAsia="宋体"/>
          <w:sz w:val="24"/>
        </w:rPr>
      </w:pPr>
      <w:r>
        <w:rPr>
          <w:rFonts w:hint="eastAsia" w:ascii="宋体" w:hAnsi="宋体" w:eastAsia="宋体"/>
          <w:sz w:val="24"/>
        </w:rPr>
        <w:t>投标人</w:t>
      </w:r>
      <w:r>
        <w:rPr>
          <w:rFonts w:ascii="宋体" w:hAnsi="宋体" w:eastAsia="宋体"/>
          <w:sz w:val="24"/>
        </w:rPr>
        <w:t>认为采购人员</w:t>
      </w:r>
      <w:r>
        <w:rPr>
          <w:rFonts w:hint="eastAsia" w:ascii="宋体" w:hAnsi="宋体" w:eastAsia="宋体"/>
          <w:sz w:val="24"/>
        </w:rPr>
        <w:t>及其</w:t>
      </w:r>
      <w:r>
        <w:rPr>
          <w:rFonts w:ascii="宋体" w:hAnsi="宋体" w:eastAsia="宋体"/>
          <w:sz w:val="24"/>
        </w:rPr>
        <w:t>相关人员有</w:t>
      </w:r>
      <w:r>
        <w:rPr>
          <w:rFonts w:hint="eastAsia" w:ascii="宋体" w:hAnsi="宋体" w:eastAsia="宋体"/>
          <w:sz w:val="24"/>
        </w:rPr>
        <w:t>法律</w:t>
      </w:r>
      <w:r>
        <w:rPr>
          <w:rFonts w:ascii="宋体" w:hAnsi="宋体" w:eastAsia="宋体"/>
          <w:sz w:val="24"/>
        </w:rPr>
        <w:t>法规所列与其他供应商</w:t>
      </w:r>
      <w:r>
        <w:rPr>
          <w:rFonts w:hint="eastAsia" w:ascii="宋体" w:hAnsi="宋体" w:eastAsia="宋体"/>
          <w:sz w:val="24"/>
        </w:rPr>
        <w:t>有</w:t>
      </w:r>
      <w:r>
        <w:rPr>
          <w:rFonts w:ascii="宋体" w:hAnsi="宋体" w:eastAsia="宋体"/>
          <w:sz w:val="24"/>
        </w:rPr>
        <w:t>利害关系的，可以向</w:t>
      </w:r>
      <w:r>
        <w:rPr>
          <w:rFonts w:hint="eastAsia" w:ascii="宋体" w:hAnsi="宋体" w:eastAsia="宋体"/>
          <w:sz w:val="24"/>
        </w:rPr>
        <w:t>采购人</w:t>
      </w:r>
      <w:r>
        <w:rPr>
          <w:rFonts w:ascii="宋体" w:hAnsi="宋体" w:eastAsia="宋体"/>
          <w:sz w:val="24"/>
        </w:rPr>
        <w:t>面提出回避申请，并说明理由。</w:t>
      </w:r>
    </w:p>
    <w:p w14:paraId="3421D8B4">
      <w:pPr>
        <w:spacing w:line="360" w:lineRule="auto"/>
        <w:ind w:firstLine="437"/>
        <w:outlineLvl w:val="2"/>
        <w:rPr>
          <w:rFonts w:ascii="宋体" w:hAnsi="宋体" w:eastAsia="宋体"/>
          <w:b/>
          <w:sz w:val="24"/>
        </w:rPr>
      </w:pPr>
      <w:r>
        <w:rPr>
          <w:rFonts w:ascii="宋体" w:hAnsi="宋体" w:eastAsia="宋体"/>
          <w:b/>
          <w:sz w:val="24"/>
        </w:rPr>
        <w:t>30.需要</w:t>
      </w:r>
      <w:r>
        <w:rPr>
          <w:rFonts w:asciiTheme="minorEastAsia" w:hAnsiTheme="minorEastAsia" w:eastAsiaTheme="minorEastAsia"/>
          <w:b/>
          <w:sz w:val="24"/>
        </w:rPr>
        <w:t>补充</w:t>
      </w:r>
      <w:r>
        <w:rPr>
          <w:rFonts w:ascii="宋体" w:hAnsi="宋体" w:eastAsia="宋体"/>
          <w:b/>
          <w:sz w:val="24"/>
        </w:rPr>
        <w:t>的其他内容</w:t>
      </w:r>
    </w:p>
    <w:p w14:paraId="1183343B">
      <w:pPr>
        <w:spacing w:line="360" w:lineRule="auto"/>
        <w:ind w:firstLine="435"/>
        <w:rPr>
          <w:rFonts w:ascii="宋体" w:hAnsi="宋体" w:eastAsia="宋体"/>
          <w:sz w:val="24"/>
        </w:rPr>
      </w:pPr>
      <w:r>
        <w:rPr>
          <w:rFonts w:hint="eastAsia" w:ascii="宋体" w:hAnsi="宋体" w:eastAsia="宋体"/>
          <w:sz w:val="24"/>
        </w:rPr>
        <w:t>需要补充的其他内容，见</w:t>
      </w:r>
      <w:r>
        <w:rPr>
          <w:rFonts w:hint="eastAsia" w:ascii="宋体" w:hAnsi="宋体" w:eastAsia="宋体"/>
          <w:sz w:val="24"/>
          <w:u w:val="single"/>
        </w:rPr>
        <w:t>供应商须知前附表</w:t>
      </w:r>
      <w:r>
        <w:rPr>
          <w:rFonts w:hint="eastAsia" w:ascii="宋体" w:hAnsi="宋体" w:eastAsia="宋体"/>
          <w:sz w:val="24"/>
        </w:rPr>
        <w:t>。</w:t>
      </w:r>
    </w:p>
    <w:p w14:paraId="71776FCE">
      <w:pPr>
        <w:spacing w:line="360" w:lineRule="auto"/>
        <w:ind w:firstLine="435"/>
        <w:rPr>
          <w:rFonts w:ascii="宋体" w:hAnsi="宋体" w:eastAsia="宋体"/>
          <w:sz w:val="24"/>
        </w:rPr>
      </w:pPr>
    </w:p>
    <w:p w14:paraId="0E0930C5">
      <w:pPr>
        <w:pStyle w:val="2"/>
        <w:rPr>
          <w:lang w:val="en-US"/>
        </w:rPr>
      </w:pPr>
    </w:p>
    <w:p w14:paraId="11A09DA8">
      <w:pPr>
        <w:widowControl/>
        <w:jc w:val="left"/>
        <w:rPr>
          <w:rFonts w:asciiTheme="minorEastAsia" w:hAnsiTheme="minorEastAsia" w:eastAsiaTheme="minorEastAsia"/>
          <w:b/>
          <w:sz w:val="28"/>
        </w:rPr>
      </w:pPr>
      <w:r>
        <w:rPr>
          <w:rFonts w:asciiTheme="minorEastAsia" w:hAnsiTheme="minorEastAsia" w:eastAsiaTheme="minorEastAsia"/>
          <w:sz w:val="24"/>
        </w:rPr>
        <w:br w:type="page"/>
      </w:r>
    </w:p>
    <w:p w14:paraId="59CCF053">
      <w:pPr>
        <w:spacing w:line="360" w:lineRule="auto"/>
        <w:jc w:val="center"/>
        <w:outlineLvl w:val="0"/>
        <w:rPr>
          <w:rFonts w:asciiTheme="minorEastAsia" w:hAnsiTheme="minorEastAsia" w:eastAsiaTheme="minorEastAsia"/>
          <w:b/>
          <w:sz w:val="28"/>
        </w:rPr>
      </w:pPr>
      <w:bookmarkStart w:id="29" w:name="_Toc10891"/>
      <w:r>
        <w:rPr>
          <w:rFonts w:hint="eastAsia" w:asciiTheme="minorEastAsia" w:hAnsiTheme="minorEastAsia" w:eastAsiaTheme="minorEastAsia"/>
          <w:b/>
          <w:sz w:val="28"/>
        </w:rPr>
        <w:t>第三章  采购需求</w:t>
      </w:r>
      <w:bookmarkEnd w:id="29"/>
    </w:p>
    <w:p w14:paraId="262C8622">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前注：</w:t>
      </w:r>
    </w:p>
    <w:p w14:paraId="152281FF">
      <w:pPr>
        <w:spacing w:line="360" w:lineRule="auto"/>
        <w:ind w:firstLine="480" w:firstLineChars="200"/>
        <w:rPr>
          <w:rFonts w:asciiTheme="minorEastAsia" w:hAnsiTheme="minorEastAsia" w:eastAsiaTheme="minorEastAsia"/>
          <w:sz w:val="24"/>
          <w:szCs w:val="18"/>
        </w:rPr>
      </w:pPr>
      <w:r>
        <w:rPr>
          <w:rFonts w:hint="eastAsia" w:asciiTheme="minorEastAsia" w:hAnsiTheme="minorEastAsia" w:eastAsiaTheme="minorEastAsia"/>
          <w:sz w:val="24"/>
        </w:rPr>
        <w:t>1.</w:t>
      </w:r>
      <w:r>
        <w:rPr>
          <w:rFonts w:asciiTheme="minorEastAsia" w:hAnsiTheme="minorEastAsia" w:eastAsiaTheme="minorEastAsia"/>
          <w:sz w:val="24"/>
          <w:szCs w:val="18"/>
        </w:rPr>
        <w:t>根据《</w:t>
      </w:r>
      <w:r>
        <w:rPr>
          <w:rFonts w:hint="eastAsia" w:asciiTheme="minorEastAsia" w:hAnsiTheme="minorEastAsia" w:eastAsiaTheme="minorEastAsia"/>
          <w:sz w:val="24"/>
          <w:szCs w:val="18"/>
        </w:rPr>
        <w:t>政府采购进口产品管理办法</w:t>
      </w:r>
      <w:r>
        <w:rPr>
          <w:rFonts w:asciiTheme="minorEastAsia" w:hAnsiTheme="minorEastAsia" w:eastAsiaTheme="minorEastAsia"/>
          <w:sz w:val="24"/>
          <w:szCs w:val="18"/>
        </w:rPr>
        <w:t>》</w:t>
      </w:r>
      <w:r>
        <w:rPr>
          <w:rFonts w:hint="eastAsia" w:asciiTheme="minorEastAsia" w:hAnsiTheme="minorEastAsia" w:eastAsiaTheme="minorEastAsia"/>
          <w:sz w:val="24"/>
          <w:szCs w:val="18"/>
        </w:rPr>
        <w:t>等</w:t>
      </w:r>
      <w:r>
        <w:rPr>
          <w:rFonts w:asciiTheme="minorEastAsia" w:hAnsiTheme="minorEastAsia" w:eastAsiaTheme="minorEastAsia"/>
          <w:sz w:val="24"/>
          <w:szCs w:val="18"/>
        </w:rPr>
        <w:t>相关规定，下列采购需求中</w:t>
      </w:r>
      <w:r>
        <w:rPr>
          <w:rFonts w:hint="eastAsia" w:asciiTheme="minorEastAsia" w:hAnsiTheme="minorEastAsia" w:eastAsiaTheme="minorEastAsia"/>
          <w:sz w:val="24"/>
          <w:szCs w:val="18"/>
        </w:rPr>
        <w:t>标注进口产品的货物均</w:t>
      </w:r>
      <w:r>
        <w:rPr>
          <w:rFonts w:asciiTheme="minorEastAsia" w:hAnsiTheme="minorEastAsia" w:eastAsiaTheme="minorEastAsia"/>
          <w:sz w:val="24"/>
          <w:szCs w:val="18"/>
        </w:rPr>
        <w:t>已履行相关论证手续，经核准采购进口</w:t>
      </w:r>
      <w:r>
        <w:rPr>
          <w:rFonts w:hint="eastAsia" w:asciiTheme="minorEastAsia" w:hAnsiTheme="minorEastAsia" w:eastAsiaTheme="minorEastAsia"/>
          <w:sz w:val="24"/>
          <w:szCs w:val="18"/>
        </w:rPr>
        <w:t>产品</w:t>
      </w:r>
      <w:r>
        <w:rPr>
          <w:rFonts w:asciiTheme="minorEastAsia" w:hAnsiTheme="minorEastAsia" w:eastAsiaTheme="minorEastAsia"/>
          <w:sz w:val="24"/>
          <w:szCs w:val="18"/>
        </w:rPr>
        <w:t>，但不限制满足询价通知书要求的国内产品参与竞争</w:t>
      </w:r>
      <w:r>
        <w:rPr>
          <w:rFonts w:hint="eastAsia" w:asciiTheme="minorEastAsia" w:hAnsiTheme="minorEastAsia" w:eastAsiaTheme="minorEastAsia"/>
          <w:sz w:val="24"/>
          <w:szCs w:val="18"/>
        </w:rPr>
        <w:t>。未标注进口产品的货物均</w:t>
      </w:r>
      <w:r>
        <w:rPr>
          <w:rFonts w:asciiTheme="minorEastAsia" w:hAnsiTheme="minorEastAsia" w:eastAsiaTheme="minorEastAsia"/>
          <w:sz w:val="24"/>
          <w:szCs w:val="18"/>
        </w:rPr>
        <w:t>为拒绝采购进口产品</w:t>
      </w:r>
      <w:r>
        <w:rPr>
          <w:rFonts w:hint="eastAsia" w:asciiTheme="minorEastAsia" w:hAnsiTheme="minorEastAsia" w:eastAsiaTheme="minorEastAsia"/>
          <w:sz w:val="24"/>
          <w:szCs w:val="18"/>
        </w:rPr>
        <w:t>。</w:t>
      </w:r>
    </w:p>
    <w:p w14:paraId="67E1DD97">
      <w:pPr>
        <w:spacing w:line="360" w:lineRule="auto"/>
        <w:ind w:firstLine="435"/>
        <w:rPr>
          <w:rFonts w:asciiTheme="minorEastAsia" w:hAnsiTheme="minorEastAsia" w:eastAsiaTheme="minorEastAsia"/>
          <w:sz w:val="24"/>
          <w:szCs w:val="18"/>
        </w:rPr>
      </w:pPr>
      <w:r>
        <w:rPr>
          <w:rFonts w:hint="eastAsia" w:ascii="宋体" w:hAnsi="宋体" w:eastAsia="宋体"/>
          <w:sz w:val="24"/>
          <w:szCs w:val="18"/>
        </w:rPr>
        <w:t>2.</w:t>
      </w:r>
      <w:r>
        <w:rPr>
          <w:rFonts w:hint="eastAsia" w:asciiTheme="minorEastAsia" w:hAnsiTheme="minorEastAsia" w:eastAsiaTheme="minorEastAsia"/>
          <w:sz w:val="24"/>
          <w:szCs w:val="18"/>
        </w:rPr>
        <w:t>★条款须满足或优于招标文件要求，否则</w:t>
      </w:r>
      <w:r>
        <w:rPr>
          <w:rFonts w:hint="eastAsia" w:asciiTheme="minorEastAsia" w:hAnsiTheme="minorEastAsia" w:eastAsiaTheme="minorEastAsia"/>
          <w:b/>
          <w:bCs/>
          <w:sz w:val="24"/>
          <w:szCs w:val="18"/>
        </w:rPr>
        <w:t>投标无效</w:t>
      </w:r>
      <w:r>
        <w:rPr>
          <w:rFonts w:hint="eastAsia" w:asciiTheme="minorEastAsia" w:hAnsiTheme="minorEastAsia" w:eastAsiaTheme="minorEastAsia"/>
          <w:sz w:val="24"/>
          <w:szCs w:val="18"/>
        </w:rPr>
        <w:t>；非★条款</w:t>
      </w:r>
      <w:r>
        <w:rPr>
          <w:rFonts w:hint="eastAsia" w:asciiTheme="minorEastAsia" w:hAnsiTheme="minorEastAsia" w:eastAsiaTheme="minorEastAsia"/>
          <w:sz w:val="24"/>
          <w:szCs w:val="18"/>
          <w:u w:val="single"/>
        </w:rPr>
        <w:t xml:space="preserve"> </w:t>
      </w:r>
      <w:r>
        <w:rPr>
          <w:rFonts w:asciiTheme="minorEastAsia" w:hAnsiTheme="minorEastAsia" w:eastAsiaTheme="minorEastAsia"/>
          <w:sz w:val="24"/>
          <w:szCs w:val="18"/>
          <w:u w:val="single"/>
        </w:rPr>
        <w:t xml:space="preserve">4 </w:t>
      </w:r>
      <w:r>
        <w:rPr>
          <w:rFonts w:hint="eastAsia" w:asciiTheme="minorEastAsia" w:hAnsiTheme="minorEastAsia" w:eastAsiaTheme="minorEastAsia"/>
          <w:sz w:val="24"/>
          <w:szCs w:val="18"/>
        </w:rPr>
        <w:t>条及以上未响应的，</w:t>
      </w:r>
      <w:r>
        <w:rPr>
          <w:rFonts w:hint="eastAsia" w:asciiTheme="minorEastAsia" w:hAnsiTheme="minorEastAsia" w:eastAsiaTheme="minorEastAsia"/>
          <w:b/>
          <w:bCs/>
          <w:sz w:val="24"/>
          <w:szCs w:val="18"/>
        </w:rPr>
        <w:t>投标无效</w:t>
      </w:r>
      <w:r>
        <w:rPr>
          <w:rFonts w:hint="eastAsia" w:asciiTheme="minorEastAsia" w:hAnsiTheme="minorEastAsia" w:eastAsiaTheme="minorEastAsia"/>
          <w:sz w:val="24"/>
          <w:szCs w:val="18"/>
        </w:rPr>
        <w:t>。</w:t>
      </w:r>
    </w:p>
    <w:p w14:paraId="5EFECE68">
      <w:pPr>
        <w:pStyle w:val="2"/>
        <w:rPr>
          <w:lang w:val="en-US"/>
        </w:rPr>
      </w:pPr>
    </w:p>
    <w:p w14:paraId="704162D7">
      <w:pPr>
        <w:spacing w:line="360" w:lineRule="auto"/>
        <w:ind w:firstLine="437"/>
        <w:outlineLvl w:val="1"/>
        <w:rPr>
          <w:rFonts w:ascii="宋体" w:hAnsi="宋体" w:eastAsia="宋体"/>
          <w:b/>
          <w:sz w:val="24"/>
          <w:szCs w:val="18"/>
        </w:rPr>
      </w:pPr>
      <w:bookmarkStart w:id="30" w:name="_Toc32151"/>
      <w:bookmarkStart w:id="31" w:name="_Toc2554"/>
      <w:r>
        <w:rPr>
          <w:rFonts w:hint="eastAsia" w:ascii="宋体" w:hAnsi="宋体" w:eastAsia="宋体"/>
          <w:b/>
          <w:sz w:val="24"/>
          <w:szCs w:val="18"/>
        </w:rPr>
        <w:t>一、采购需求前附表</w:t>
      </w:r>
      <w:bookmarkEnd w:id="30"/>
      <w:bookmarkEnd w:id="31"/>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7"/>
        <w:gridCol w:w="2032"/>
        <w:gridCol w:w="5483"/>
      </w:tblGrid>
      <w:tr w14:paraId="0D093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1" w:type="pct"/>
            <w:vAlign w:val="center"/>
          </w:tcPr>
          <w:p w14:paraId="1779C400">
            <w:pPr>
              <w:pStyle w:val="31"/>
              <w:pBdr>
                <w:bottom w:val="none" w:color="auto" w:sz="0" w:space="0"/>
              </w:pBdr>
              <w:tabs>
                <w:tab w:val="clear" w:pos="4153"/>
                <w:tab w:val="clear" w:pos="8306"/>
              </w:tabs>
              <w:adjustRightInd/>
              <w:spacing w:line="240" w:lineRule="auto"/>
              <w:textAlignment w:val="auto"/>
              <w:rPr>
                <w:rFonts w:ascii="宋体" w:hAnsi="宋体" w:eastAsia="宋体"/>
                <w:b/>
                <w:kern w:val="2"/>
              </w:rPr>
            </w:pPr>
            <w:r>
              <w:rPr>
                <w:rFonts w:hint="eastAsia" w:ascii="宋体" w:hAnsi="宋体" w:eastAsia="宋体"/>
                <w:b/>
                <w:kern w:val="2"/>
              </w:rPr>
              <w:t>序号</w:t>
            </w:r>
          </w:p>
        </w:tc>
        <w:tc>
          <w:tcPr>
            <w:tcW w:w="1192" w:type="pct"/>
            <w:vAlign w:val="center"/>
          </w:tcPr>
          <w:p w14:paraId="3560EB13">
            <w:pPr>
              <w:pStyle w:val="30"/>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条款名称</w:t>
            </w:r>
          </w:p>
        </w:tc>
        <w:tc>
          <w:tcPr>
            <w:tcW w:w="3217" w:type="pct"/>
            <w:vAlign w:val="center"/>
          </w:tcPr>
          <w:p w14:paraId="6226FEC8">
            <w:pPr>
              <w:pStyle w:val="30"/>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内容、说明与要求</w:t>
            </w:r>
          </w:p>
        </w:tc>
      </w:tr>
      <w:tr w14:paraId="2CA2C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1" w:type="pct"/>
            <w:vAlign w:val="center"/>
          </w:tcPr>
          <w:p w14:paraId="35C61AB7">
            <w:pPr>
              <w:pStyle w:val="31"/>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w:t>
            </w:r>
          </w:p>
        </w:tc>
        <w:tc>
          <w:tcPr>
            <w:tcW w:w="1192" w:type="pct"/>
            <w:vAlign w:val="center"/>
          </w:tcPr>
          <w:p w14:paraId="0BFBC104">
            <w:pPr>
              <w:pStyle w:val="30"/>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付款方式</w:t>
            </w:r>
          </w:p>
        </w:tc>
        <w:tc>
          <w:tcPr>
            <w:tcW w:w="3217" w:type="pct"/>
            <w:vAlign w:val="center"/>
          </w:tcPr>
          <w:p w14:paraId="54286475">
            <w:pPr>
              <w:pStyle w:val="30"/>
              <w:widowControl w:val="0"/>
              <w:spacing w:before="0" w:beforeAutospacing="0" w:after="0" w:afterAutospacing="0" w:line="360" w:lineRule="auto"/>
              <w:jc w:val="both"/>
              <w:rPr>
                <w:rFonts w:ascii="宋体" w:hAnsi="宋体" w:eastAsia="宋体"/>
                <w:b w:val="0"/>
                <w:sz w:val="24"/>
                <w:u w:val="single"/>
              </w:rPr>
            </w:pPr>
            <w:r>
              <w:rPr>
                <w:rFonts w:hint="eastAsia" w:ascii="宋体" w:hAnsi="宋体" w:eastAsia="宋体"/>
                <w:b w:val="0"/>
                <w:sz w:val="24"/>
                <w:u w:val="single"/>
              </w:rPr>
              <w:t>签署框架协议后，由分行以订单形式下单，并按订单结算，货到甲方或甲方指定地点后，经甲方验收合格后，十个工作日内由乙方开具税率</w:t>
            </w:r>
            <w:r>
              <w:rPr>
                <w:rFonts w:ascii="宋体" w:hAnsi="宋体" w:eastAsia="宋体"/>
                <w:b w:val="0"/>
                <w:sz w:val="24"/>
                <w:u w:val="single"/>
              </w:rPr>
              <w:t>13%的等额增值税专用发票给甲方，甲方在收到发票后15个工作日内全额付款给乙方。</w:t>
            </w:r>
          </w:p>
        </w:tc>
      </w:tr>
      <w:tr w14:paraId="3D2E9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1" w:type="pct"/>
            <w:vAlign w:val="center"/>
          </w:tcPr>
          <w:p w14:paraId="7C423CB8">
            <w:pPr>
              <w:pStyle w:val="31"/>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w:t>
            </w:r>
          </w:p>
        </w:tc>
        <w:tc>
          <w:tcPr>
            <w:tcW w:w="1192" w:type="pct"/>
            <w:vAlign w:val="center"/>
          </w:tcPr>
          <w:p w14:paraId="14205E73">
            <w:pPr>
              <w:pStyle w:val="30"/>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供货地点</w:t>
            </w:r>
          </w:p>
        </w:tc>
        <w:tc>
          <w:tcPr>
            <w:tcW w:w="3217" w:type="pct"/>
            <w:vAlign w:val="center"/>
          </w:tcPr>
          <w:p w14:paraId="38D42224">
            <w:pPr>
              <w:pStyle w:val="30"/>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u w:val="single"/>
              </w:rPr>
              <w:t>采购人指定地点</w:t>
            </w:r>
          </w:p>
        </w:tc>
      </w:tr>
      <w:tr w14:paraId="51325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1" w:type="pct"/>
            <w:vAlign w:val="center"/>
          </w:tcPr>
          <w:p w14:paraId="3FD85F1A">
            <w:pPr>
              <w:pStyle w:val="31"/>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3</w:t>
            </w:r>
          </w:p>
        </w:tc>
        <w:tc>
          <w:tcPr>
            <w:tcW w:w="1192" w:type="pct"/>
            <w:vAlign w:val="center"/>
          </w:tcPr>
          <w:p w14:paraId="6AC550BE">
            <w:pPr>
              <w:pStyle w:val="30"/>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供货期限</w:t>
            </w:r>
          </w:p>
        </w:tc>
        <w:tc>
          <w:tcPr>
            <w:tcW w:w="3217" w:type="pct"/>
            <w:vAlign w:val="center"/>
          </w:tcPr>
          <w:p w14:paraId="2EB7833C">
            <w:pPr>
              <w:pStyle w:val="30"/>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u w:val="single"/>
              </w:rPr>
              <w:t>根据甲方订单，要求于</w:t>
            </w:r>
            <w:r>
              <w:rPr>
                <w:rFonts w:ascii="宋体" w:hAnsi="宋体" w:eastAsia="宋体"/>
                <w:b w:val="0"/>
                <w:sz w:val="24"/>
                <w:u w:val="single"/>
              </w:rPr>
              <w:t>15个工作日内交货</w:t>
            </w:r>
          </w:p>
        </w:tc>
      </w:tr>
    </w:tbl>
    <w:p w14:paraId="304AC576">
      <w:pPr>
        <w:spacing w:line="360" w:lineRule="auto"/>
        <w:ind w:firstLine="437"/>
        <w:outlineLvl w:val="1"/>
        <w:rPr>
          <w:rFonts w:ascii="宋体" w:hAnsi="宋体" w:eastAsia="宋体"/>
          <w:b/>
          <w:bCs/>
          <w:sz w:val="24"/>
          <w:szCs w:val="18"/>
        </w:rPr>
      </w:pPr>
      <w:bookmarkStart w:id="32" w:name="_Toc5944"/>
      <w:bookmarkStart w:id="33" w:name="_Toc7671"/>
      <w:r>
        <w:rPr>
          <w:rFonts w:hint="eastAsia" w:ascii="宋体" w:hAnsi="宋体" w:eastAsia="宋体"/>
          <w:b/>
          <w:bCs/>
          <w:sz w:val="24"/>
          <w:szCs w:val="18"/>
        </w:rPr>
        <w:t>二、</w:t>
      </w:r>
      <w:r>
        <w:rPr>
          <w:rFonts w:hint="eastAsia" w:ascii="宋体" w:hAnsi="宋体" w:eastAsia="宋体"/>
          <w:b/>
          <w:sz w:val="24"/>
          <w:szCs w:val="18"/>
        </w:rPr>
        <w:t>入围</w:t>
      </w:r>
      <w:r>
        <w:rPr>
          <w:rFonts w:hint="eastAsia" w:ascii="宋体" w:hAnsi="宋体" w:eastAsia="宋体"/>
          <w:b/>
          <w:bCs/>
          <w:sz w:val="24"/>
          <w:szCs w:val="18"/>
        </w:rPr>
        <w:t>需求</w:t>
      </w:r>
      <w:bookmarkEnd w:id="32"/>
      <w:bookmarkEnd w:id="33"/>
    </w:p>
    <w:p w14:paraId="061909B9">
      <w:pPr>
        <w:widowControl/>
        <w:spacing w:line="360" w:lineRule="auto"/>
        <w:ind w:firstLine="480" w:firstLineChars="200"/>
        <w:jc w:val="left"/>
        <w:rPr>
          <w:rFonts w:asciiTheme="minorEastAsia" w:hAnsiTheme="minorEastAsia" w:eastAsiaTheme="minorEastAsia"/>
          <w:sz w:val="24"/>
          <w:szCs w:val="18"/>
        </w:rPr>
      </w:pPr>
      <w:bookmarkStart w:id="34" w:name="_Hlk229671483"/>
      <w:r>
        <w:rPr>
          <w:rFonts w:asciiTheme="minorEastAsia" w:hAnsiTheme="minorEastAsia" w:eastAsiaTheme="minorEastAsia"/>
          <w:sz w:val="24"/>
          <w:szCs w:val="18"/>
        </w:rPr>
        <w:t>本项目</w:t>
      </w:r>
      <w:r>
        <w:rPr>
          <w:rFonts w:hint="eastAsia" w:asciiTheme="minorEastAsia" w:hAnsiTheme="minorEastAsia" w:eastAsiaTheme="minorEastAsia"/>
          <w:sz w:val="24"/>
          <w:szCs w:val="18"/>
        </w:rPr>
        <w:t>入围</w:t>
      </w:r>
      <w:r>
        <w:rPr>
          <w:rFonts w:asciiTheme="minorEastAsia" w:hAnsiTheme="minorEastAsia" w:eastAsiaTheme="minorEastAsia"/>
          <w:sz w:val="24"/>
          <w:szCs w:val="18"/>
        </w:rPr>
        <w:t>3家借记卡制卡服务供应商，包括空白卡制卡、</w:t>
      </w:r>
      <w:r>
        <w:rPr>
          <w:rFonts w:hint="eastAsia" w:asciiTheme="minorEastAsia" w:hAnsiTheme="minorEastAsia" w:eastAsiaTheme="minorEastAsia"/>
          <w:sz w:val="24"/>
          <w:szCs w:val="18"/>
        </w:rPr>
        <w:t>同卡</w:t>
      </w:r>
      <w:r>
        <w:rPr>
          <w:rFonts w:asciiTheme="minorEastAsia" w:hAnsiTheme="minorEastAsia" w:eastAsiaTheme="minorEastAsia"/>
          <w:sz w:val="24"/>
          <w:szCs w:val="18"/>
        </w:rPr>
        <w:t>号换卡制卡、</w:t>
      </w:r>
      <w:r>
        <w:rPr>
          <w:rFonts w:hint="eastAsia" w:asciiTheme="minorEastAsia" w:hAnsiTheme="minorEastAsia" w:eastAsiaTheme="minorEastAsia"/>
          <w:sz w:val="24"/>
          <w:szCs w:val="18"/>
        </w:rPr>
        <w:t>密码信封制作、</w:t>
      </w:r>
      <w:r>
        <w:rPr>
          <w:rFonts w:asciiTheme="minorEastAsia" w:hAnsiTheme="minorEastAsia" w:eastAsiaTheme="minorEastAsia"/>
          <w:sz w:val="24"/>
          <w:szCs w:val="18"/>
        </w:rPr>
        <w:t>个人化服务、开卡包装（卡函和信封等）、卡片封装和邮递、卡片特殊工艺加工等服务，合作期限</w:t>
      </w:r>
      <w:r>
        <w:rPr>
          <w:rFonts w:hint="eastAsia" w:asciiTheme="minorEastAsia" w:hAnsiTheme="minorEastAsia" w:eastAsiaTheme="minorEastAsia"/>
          <w:sz w:val="24"/>
          <w:szCs w:val="18"/>
        </w:rPr>
        <w:t>2</w:t>
      </w:r>
      <w:r>
        <w:rPr>
          <w:rFonts w:asciiTheme="minorEastAsia" w:hAnsiTheme="minorEastAsia" w:eastAsiaTheme="minorEastAsia"/>
          <w:sz w:val="24"/>
          <w:szCs w:val="18"/>
        </w:rPr>
        <w:t>年</w:t>
      </w:r>
      <w:r>
        <w:rPr>
          <w:rFonts w:hint="eastAsia" w:asciiTheme="minorEastAsia" w:hAnsiTheme="minorEastAsia" w:eastAsiaTheme="minorEastAsia"/>
          <w:sz w:val="24"/>
          <w:szCs w:val="18"/>
        </w:rPr>
        <w:t>，明确相关单价</w:t>
      </w:r>
      <w:bookmarkEnd w:id="34"/>
      <w:r>
        <w:rPr>
          <w:rFonts w:hint="eastAsia" w:asciiTheme="minorEastAsia" w:hAnsiTheme="minorEastAsia" w:eastAsiaTheme="minorEastAsia"/>
          <w:sz w:val="24"/>
          <w:szCs w:val="18"/>
        </w:rPr>
        <w:t>，具体如下：</w:t>
      </w:r>
    </w:p>
    <w:tbl>
      <w:tblPr>
        <w:tblStyle w:val="22"/>
        <w:tblW w:w="8381" w:type="dxa"/>
        <w:tblInd w:w="93" w:type="dxa"/>
        <w:tblLayout w:type="autofit"/>
        <w:tblCellMar>
          <w:top w:w="0" w:type="dxa"/>
          <w:left w:w="108" w:type="dxa"/>
          <w:bottom w:w="0" w:type="dxa"/>
          <w:right w:w="108" w:type="dxa"/>
        </w:tblCellMar>
      </w:tblPr>
      <w:tblGrid>
        <w:gridCol w:w="2156"/>
        <w:gridCol w:w="3587"/>
        <w:gridCol w:w="2638"/>
      </w:tblGrid>
      <w:tr w14:paraId="6552C3C0">
        <w:tblPrEx>
          <w:tblCellMar>
            <w:top w:w="0" w:type="dxa"/>
            <w:left w:w="108" w:type="dxa"/>
            <w:bottom w:w="0" w:type="dxa"/>
            <w:right w:w="108" w:type="dxa"/>
          </w:tblCellMar>
        </w:tblPrEx>
        <w:trPr>
          <w:trHeight w:val="540" w:hRule="atLeast"/>
        </w:trPr>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DA035">
            <w:pPr>
              <w:widowControl/>
              <w:jc w:val="left"/>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明细</w:t>
            </w:r>
          </w:p>
        </w:tc>
        <w:tc>
          <w:tcPr>
            <w:tcW w:w="3587" w:type="dxa"/>
            <w:tcBorders>
              <w:top w:val="single" w:color="000000" w:sz="4" w:space="0"/>
              <w:left w:val="nil"/>
              <w:bottom w:val="single" w:color="000000" w:sz="4" w:space="0"/>
              <w:right w:val="single" w:color="000000" w:sz="4" w:space="0"/>
            </w:tcBorders>
            <w:shd w:val="clear" w:color="auto" w:fill="auto"/>
            <w:vAlign w:val="center"/>
          </w:tcPr>
          <w:p w14:paraId="1415F6AF">
            <w:pPr>
              <w:widowControl/>
              <w:jc w:val="left"/>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制作要求</w:t>
            </w:r>
          </w:p>
        </w:tc>
        <w:tc>
          <w:tcPr>
            <w:tcW w:w="2638" w:type="dxa"/>
            <w:tcBorders>
              <w:top w:val="single" w:color="000000" w:sz="4" w:space="0"/>
              <w:left w:val="nil"/>
              <w:bottom w:val="single" w:color="000000" w:sz="4" w:space="0"/>
              <w:right w:val="single" w:color="000000" w:sz="4" w:space="0"/>
            </w:tcBorders>
            <w:shd w:val="clear" w:color="auto" w:fill="auto"/>
            <w:vAlign w:val="center"/>
          </w:tcPr>
          <w:p w14:paraId="5C2A0365">
            <w:pPr>
              <w:widowControl/>
              <w:jc w:val="left"/>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备注</w:t>
            </w:r>
          </w:p>
        </w:tc>
      </w:tr>
      <w:tr w14:paraId="4C3CB719">
        <w:tblPrEx>
          <w:tblCellMar>
            <w:top w:w="0" w:type="dxa"/>
            <w:left w:w="108" w:type="dxa"/>
            <w:bottom w:w="0" w:type="dxa"/>
            <w:right w:w="108" w:type="dxa"/>
          </w:tblCellMar>
        </w:tblPrEx>
        <w:trPr>
          <w:trHeight w:val="455" w:hRule="atLeast"/>
        </w:trPr>
        <w:tc>
          <w:tcPr>
            <w:tcW w:w="2156" w:type="dxa"/>
            <w:tcBorders>
              <w:top w:val="nil"/>
              <w:left w:val="single" w:color="000000" w:sz="4" w:space="0"/>
              <w:bottom w:val="single" w:color="000000" w:sz="4" w:space="0"/>
              <w:right w:val="single" w:color="000000" w:sz="4" w:space="0"/>
            </w:tcBorders>
            <w:shd w:val="clear" w:color="auto" w:fill="auto"/>
            <w:vAlign w:val="center"/>
          </w:tcPr>
          <w:p w14:paraId="74F2FDC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借记卡制卡</w:t>
            </w:r>
          </w:p>
        </w:tc>
        <w:tc>
          <w:tcPr>
            <w:tcW w:w="3587" w:type="dxa"/>
            <w:tcBorders>
              <w:top w:val="nil"/>
              <w:left w:val="nil"/>
              <w:bottom w:val="single" w:color="000000" w:sz="4" w:space="0"/>
              <w:right w:val="single" w:color="000000" w:sz="4" w:space="0"/>
            </w:tcBorders>
            <w:shd w:val="clear" w:color="auto" w:fill="auto"/>
            <w:vAlign w:val="center"/>
          </w:tcPr>
          <w:p w14:paraId="02C7F77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空白IC卡+印刷+封装+个人化</w:t>
            </w:r>
          </w:p>
        </w:tc>
        <w:tc>
          <w:tcPr>
            <w:tcW w:w="2638" w:type="dxa"/>
            <w:tcBorders>
              <w:top w:val="nil"/>
              <w:left w:val="nil"/>
              <w:bottom w:val="single" w:color="000000" w:sz="4" w:space="0"/>
              <w:right w:val="single" w:color="000000" w:sz="4" w:space="0"/>
            </w:tcBorders>
            <w:shd w:val="clear" w:color="auto" w:fill="auto"/>
            <w:vAlign w:val="center"/>
          </w:tcPr>
          <w:p w14:paraId="4A2FBB2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r>
      <w:tr w14:paraId="3FCC8EEC">
        <w:tblPrEx>
          <w:tblCellMar>
            <w:top w:w="0" w:type="dxa"/>
            <w:left w:w="108" w:type="dxa"/>
            <w:bottom w:w="0" w:type="dxa"/>
            <w:right w:w="108" w:type="dxa"/>
          </w:tblCellMar>
        </w:tblPrEx>
        <w:trPr>
          <w:trHeight w:val="493" w:hRule="atLeast"/>
        </w:trPr>
        <w:tc>
          <w:tcPr>
            <w:tcW w:w="2156" w:type="dxa"/>
            <w:tcBorders>
              <w:top w:val="nil"/>
              <w:left w:val="single" w:color="000000" w:sz="4" w:space="0"/>
              <w:bottom w:val="single" w:color="000000" w:sz="4" w:space="0"/>
              <w:right w:val="single" w:color="000000" w:sz="4" w:space="0"/>
            </w:tcBorders>
            <w:shd w:val="clear" w:color="auto" w:fill="auto"/>
            <w:vAlign w:val="center"/>
          </w:tcPr>
          <w:p w14:paraId="6CF4D37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借记卡同卡号换卡</w:t>
            </w:r>
          </w:p>
        </w:tc>
        <w:tc>
          <w:tcPr>
            <w:tcW w:w="3587" w:type="dxa"/>
            <w:tcBorders>
              <w:top w:val="nil"/>
              <w:left w:val="nil"/>
              <w:bottom w:val="single" w:color="000000" w:sz="4" w:space="0"/>
              <w:right w:val="single" w:color="000000" w:sz="4" w:space="0"/>
            </w:tcBorders>
            <w:shd w:val="clear" w:color="auto" w:fill="auto"/>
            <w:vAlign w:val="center"/>
          </w:tcPr>
          <w:p w14:paraId="055732A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空白IC卡+印刷+封装+个人化+邮寄</w:t>
            </w:r>
          </w:p>
        </w:tc>
        <w:tc>
          <w:tcPr>
            <w:tcW w:w="2638" w:type="dxa"/>
            <w:tcBorders>
              <w:top w:val="nil"/>
              <w:left w:val="nil"/>
              <w:bottom w:val="single" w:color="000000" w:sz="4" w:space="0"/>
              <w:right w:val="single" w:color="000000" w:sz="4" w:space="0"/>
            </w:tcBorders>
            <w:shd w:val="clear" w:color="auto" w:fill="auto"/>
            <w:vAlign w:val="center"/>
          </w:tcPr>
          <w:p w14:paraId="7826FF9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r>
      <w:tr w14:paraId="2A659AD8">
        <w:tblPrEx>
          <w:tblCellMar>
            <w:top w:w="0" w:type="dxa"/>
            <w:left w:w="108" w:type="dxa"/>
            <w:bottom w:w="0" w:type="dxa"/>
            <w:right w:w="108" w:type="dxa"/>
          </w:tblCellMar>
        </w:tblPrEx>
        <w:trPr>
          <w:trHeight w:val="375" w:hRule="atLeast"/>
        </w:trPr>
        <w:tc>
          <w:tcPr>
            <w:tcW w:w="2156" w:type="dxa"/>
            <w:tcBorders>
              <w:top w:val="nil"/>
              <w:left w:val="single" w:color="000000" w:sz="4" w:space="0"/>
              <w:bottom w:val="nil"/>
              <w:right w:val="single" w:color="000000" w:sz="4" w:space="0"/>
            </w:tcBorders>
            <w:shd w:val="clear" w:color="auto" w:fill="auto"/>
            <w:vAlign w:val="center"/>
          </w:tcPr>
          <w:p w14:paraId="31AB6ED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密码信封</w:t>
            </w:r>
          </w:p>
        </w:tc>
        <w:tc>
          <w:tcPr>
            <w:tcW w:w="3587" w:type="dxa"/>
            <w:tcBorders>
              <w:top w:val="nil"/>
              <w:left w:val="nil"/>
              <w:bottom w:val="single" w:color="000000" w:sz="4" w:space="0"/>
              <w:right w:val="single" w:color="000000" w:sz="4" w:space="0"/>
            </w:tcBorders>
            <w:shd w:val="clear" w:color="auto" w:fill="auto"/>
            <w:vAlign w:val="center"/>
          </w:tcPr>
          <w:p w14:paraId="51C6C48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印刷+个人化</w:t>
            </w:r>
          </w:p>
        </w:tc>
        <w:tc>
          <w:tcPr>
            <w:tcW w:w="2638" w:type="dxa"/>
            <w:tcBorders>
              <w:top w:val="nil"/>
              <w:left w:val="nil"/>
              <w:bottom w:val="nil"/>
              <w:right w:val="single" w:color="000000" w:sz="4" w:space="0"/>
            </w:tcBorders>
            <w:shd w:val="clear" w:color="auto" w:fill="auto"/>
            <w:vAlign w:val="center"/>
          </w:tcPr>
          <w:p w14:paraId="5C27AC8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r>
      <w:tr w14:paraId="44A81776">
        <w:tblPrEx>
          <w:tblCellMar>
            <w:top w:w="0" w:type="dxa"/>
            <w:left w:w="108" w:type="dxa"/>
            <w:bottom w:w="0" w:type="dxa"/>
            <w:right w:w="108" w:type="dxa"/>
          </w:tblCellMar>
        </w:tblPrEx>
        <w:trPr>
          <w:trHeight w:val="450" w:hRule="atLeast"/>
        </w:trPr>
        <w:tc>
          <w:tcPr>
            <w:tcW w:w="2156" w:type="dxa"/>
            <w:vMerge w:val="restart"/>
            <w:tcBorders>
              <w:top w:val="single" w:color="000000" w:sz="4" w:space="0"/>
              <w:left w:val="single" w:color="000000" w:sz="4" w:space="0"/>
              <w:bottom w:val="nil"/>
              <w:right w:val="single" w:color="000000" w:sz="4" w:space="0"/>
            </w:tcBorders>
            <w:shd w:val="clear" w:color="auto" w:fill="auto"/>
            <w:vAlign w:val="center"/>
          </w:tcPr>
          <w:p w14:paraId="1F93D4E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特殊工艺卡附加</w:t>
            </w:r>
          </w:p>
        </w:tc>
        <w:tc>
          <w:tcPr>
            <w:tcW w:w="3587" w:type="dxa"/>
            <w:tcBorders>
              <w:top w:val="nil"/>
              <w:left w:val="nil"/>
              <w:bottom w:val="single" w:color="000000" w:sz="4" w:space="0"/>
              <w:right w:val="single" w:color="000000" w:sz="4" w:space="0"/>
            </w:tcBorders>
            <w:shd w:val="clear" w:color="auto" w:fill="auto"/>
            <w:vAlign w:val="center"/>
          </w:tcPr>
          <w:p w14:paraId="06D30E0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立金</w:t>
            </w:r>
          </w:p>
        </w:tc>
        <w:tc>
          <w:tcPr>
            <w:tcW w:w="2638" w:type="dxa"/>
            <w:vMerge w:val="restart"/>
            <w:tcBorders>
              <w:top w:val="single" w:color="000000" w:sz="4" w:space="0"/>
              <w:left w:val="single" w:color="000000" w:sz="4" w:space="0"/>
              <w:bottom w:val="nil"/>
              <w:right w:val="single" w:color="000000" w:sz="4" w:space="0"/>
            </w:tcBorders>
            <w:shd w:val="clear" w:color="auto" w:fill="auto"/>
            <w:vAlign w:val="center"/>
          </w:tcPr>
          <w:p w14:paraId="003D3D8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特殊工艺卡为根据在原卡基础上每附加一种特殊工艺增加单价</w:t>
            </w:r>
          </w:p>
        </w:tc>
      </w:tr>
      <w:tr w14:paraId="121E1428">
        <w:tblPrEx>
          <w:tblCellMar>
            <w:top w:w="0" w:type="dxa"/>
            <w:left w:w="108" w:type="dxa"/>
            <w:bottom w:w="0" w:type="dxa"/>
            <w:right w:w="108" w:type="dxa"/>
          </w:tblCellMar>
        </w:tblPrEx>
        <w:trPr>
          <w:trHeight w:val="437" w:hRule="atLeast"/>
        </w:trPr>
        <w:tc>
          <w:tcPr>
            <w:tcW w:w="2156" w:type="dxa"/>
            <w:vMerge w:val="continue"/>
            <w:tcBorders>
              <w:top w:val="single" w:color="000000" w:sz="4" w:space="0"/>
              <w:left w:val="single" w:color="000000" w:sz="4" w:space="0"/>
              <w:bottom w:val="nil"/>
              <w:right w:val="single" w:color="000000" w:sz="4" w:space="0"/>
            </w:tcBorders>
            <w:shd w:val="clear" w:color="auto" w:fill="auto"/>
            <w:vAlign w:val="center"/>
          </w:tcPr>
          <w:p w14:paraId="6762D54B">
            <w:pPr>
              <w:rPr>
                <w:rFonts w:ascii="宋体" w:hAnsi="宋体" w:eastAsia="宋体" w:cs="宋体"/>
                <w:color w:val="000000"/>
                <w:sz w:val="22"/>
                <w:szCs w:val="22"/>
              </w:rPr>
            </w:pPr>
          </w:p>
        </w:tc>
        <w:tc>
          <w:tcPr>
            <w:tcW w:w="3587" w:type="dxa"/>
            <w:tcBorders>
              <w:top w:val="nil"/>
              <w:left w:val="nil"/>
              <w:bottom w:val="single" w:color="000000" w:sz="4" w:space="0"/>
              <w:right w:val="single" w:color="000000" w:sz="4" w:space="0"/>
            </w:tcBorders>
            <w:shd w:val="clear" w:color="auto" w:fill="auto"/>
            <w:vAlign w:val="center"/>
          </w:tcPr>
          <w:p w14:paraId="333CD85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烫印</w:t>
            </w:r>
          </w:p>
        </w:tc>
        <w:tc>
          <w:tcPr>
            <w:tcW w:w="2638" w:type="dxa"/>
            <w:vMerge w:val="continue"/>
            <w:tcBorders>
              <w:top w:val="single" w:color="000000" w:sz="4" w:space="0"/>
              <w:left w:val="single" w:color="000000" w:sz="4" w:space="0"/>
              <w:bottom w:val="nil"/>
              <w:right w:val="single" w:color="000000" w:sz="4" w:space="0"/>
            </w:tcBorders>
            <w:shd w:val="clear" w:color="auto" w:fill="auto"/>
            <w:vAlign w:val="center"/>
          </w:tcPr>
          <w:p w14:paraId="4E6B1706">
            <w:pPr>
              <w:rPr>
                <w:rFonts w:ascii="宋体" w:hAnsi="宋体" w:eastAsia="宋体" w:cs="宋体"/>
                <w:color w:val="000000"/>
                <w:sz w:val="22"/>
                <w:szCs w:val="22"/>
              </w:rPr>
            </w:pPr>
          </w:p>
        </w:tc>
      </w:tr>
      <w:tr w14:paraId="2EFB086D">
        <w:tblPrEx>
          <w:tblCellMar>
            <w:top w:w="0" w:type="dxa"/>
            <w:left w:w="108" w:type="dxa"/>
            <w:bottom w:w="0" w:type="dxa"/>
            <w:right w:w="108" w:type="dxa"/>
          </w:tblCellMar>
        </w:tblPrEx>
        <w:trPr>
          <w:trHeight w:val="540" w:hRule="atLeast"/>
        </w:trPr>
        <w:tc>
          <w:tcPr>
            <w:tcW w:w="2156" w:type="dxa"/>
            <w:vMerge w:val="continue"/>
            <w:tcBorders>
              <w:top w:val="single" w:color="000000" w:sz="4" w:space="0"/>
              <w:left w:val="single" w:color="000000" w:sz="4" w:space="0"/>
              <w:bottom w:val="nil"/>
              <w:right w:val="single" w:color="000000" w:sz="4" w:space="0"/>
            </w:tcBorders>
            <w:shd w:val="clear" w:color="auto" w:fill="auto"/>
            <w:vAlign w:val="center"/>
          </w:tcPr>
          <w:p w14:paraId="43292E14">
            <w:pPr>
              <w:rPr>
                <w:rFonts w:ascii="宋体" w:hAnsi="宋体" w:eastAsia="宋体" w:cs="宋体"/>
                <w:color w:val="000000"/>
                <w:sz w:val="22"/>
                <w:szCs w:val="22"/>
              </w:rPr>
            </w:pPr>
          </w:p>
        </w:tc>
        <w:tc>
          <w:tcPr>
            <w:tcW w:w="3587" w:type="dxa"/>
            <w:tcBorders>
              <w:top w:val="nil"/>
              <w:left w:val="nil"/>
              <w:bottom w:val="single" w:color="000000" w:sz="4" w:space="0"/>
              <w:right w:val="single" w:color="000000" w:sz="4" w:space="0"/>
            </w:tcBorders>
            <w:shd w:val="clear" w:color="auto" w:fill="auto"/>
            <w:vAlign w:val="center"/>
          </w:tcPr>
          <w:p w14:paraId="0A3C1DD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彩色PVC材料</w:t>
            </w:r>
          </w:p>
        </w:tc>
        <w:tc>
          <w:tcPr>
            <w:tcW w:w="2638" w:type="dxa"/>
            <w:vMerge w:val="continue"/>
            <w:tcBorders>
              <w:top w:val="single" w:color="000000" w:sz="4" w:space="0"/>
              <w:left w:val="single" w:color="000000" w:sz="4" w:space="0"/>
              <w:bottom w:val="nil"/>
              <w:right w:val="single" w:color="000000" w:sz="4" w:space="0"/>
            </w:tcBorders>
            <w:shd w:val="clear" w:color="auto" w:fill="auto"/>
            <w:vAlign w:val="center"/>
          </w:tcPr>
          <w:p w14:paraId="3238AF0F">
            <w:pPr>
              <w:rPr>
                <w:rFonts w:ascii="宋体" w:hAnsi="宋体" w:eastAsia="宋体" w:cs="宋体"/>
                <w:color w:val="000000"/>
                <w:sz w:val="22"/>
                <w:szCs w:val="22"/>
              </w:rPr>
            </w:pPr>
          </w:p>
        </w:tc>
      </w:tr>
      <w:tr w14:paraId="0BEABCCD">
        <w:tblPrEx>
          <w:tblCellMar>
            <w:top w:w="0" w:type="dxa"/>
            <w:left w:w="108" w:type="dxa"/>
            <w:bottom w:w="0" w:type="dxa"/>
            <w:right w:w="108" w:type="dxa"/>
          </w:tblCellMar>
        </w:tblPrEx>
        <w:trPr>
          <w:trHeight w:val="330" w:hRule="atLeast"/>
        </w:trPr>
        <w:tc>
          <w:tcPr>
            <w:tcW w:w="83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607E1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备注：以上借记卡为国密金融IC卡。</w:t>
            </w:r>
          </w:p>
        </w:tc>
      </w:tr>
    </w:tbl>
    <w:p w14:paraId="5393BA43">
      <w:pPr>
        <w:pStyle w:val="2"/>
        <w:rPr>
          <w:lang w:val="en-US"/>
        </w:rPr>
      </w:pPr>
    </w:p>
    <w:p w14:paraId="7F9F03AF">
      <w:pPr>
        <w:spacing w:line="360" w:lineRule="auto"/>
        <w:ind w:firstLine="437"/>
        <w:outlineLvl w:val="1"/>
        <w:rPr>
          <w:rFonts w:ascii="宋体" w:hAnsi="宋体" w:eastAsia="宋体"/>
          <w:b/>
          <w:bCs/>
          <w:sz w:val="24"/>
          <w:szCs w:val="18"/>
        </w:rPr>
      </w:pPr>
      <w:bookmarkStart w:id="35" w:name="_Toc4843"/>
      <w:bookmarkStart w:id="36" w:name="_Toc7421"/>
      <w:r>
        <w:rPr>
          <w:rFonts w:hint="eastAsia" w:ascii="宋体" w:hAnsi="宋体" w:eastAsia="宋体"/>
          <w:b/>
          <w:bCs/>
          <w:sz w:val="24"/>
          <w:szCs w:val="18"/>
        </w:rPr>
        <w:t>三、报价要求</w:t>
      </w:r>
      <w:bookmarkEnd w:id="35"/>
      <w:bookmarkEnd w:id="36"/>
    </w:p>
    <w:p w14:paraId="7AE7E7EB">
      <w:pPr>
        <w:widowControl/>
        <w:spacing w:line="360" w:lineRule="auto"/>
        <w:ind w:firstLine="480" w:firstLineChars="200"/>
        <w:jc w:val="left"/>
        <w:rPr>
          <w:rFonts w:asciiTheme="minorEastAsia" w:hAnsiTheme="minorEastAsia" w:eastAsiaTheme="minorEastAsia"/>
          <w:sz w:val="24"/>
          <w:lang w:val="zh-CN"/>
        </w:rPr>
      </w:pPr>
      <w:bookmarkStart w:id="37" w:name="_Toc15293"/>
      <w:bookmarkStart w:id="38" w:name="_Toc14698"/>
      <w:r>
        <w:rPr>
          <w:rFonts w:hint="eastAsia" w:asciiTheme="minorEastAsia" w:hAnsiTheme="minorEastAsia" w:eastAsiaTheme="minorEastAsia"/>
          <w:sz w:val="24"/>
          <w:lang w:val="zh-CN"/>
        </w:rPr>
        <w:t>本项目各产品报价上限</w:t>
      </w:r>
      <w:bookmarkStart w:id="39" w:name="_Hlk229671438"/>
      <w:r>
        <w:rPr>
          <w:rFonts w:hint="eastAsia" w:asciiTheme="minorEastAsia" w:hAnsiTheme="minorEastAsia" w:eastAsiaTheme="minorEastAsia"/>
          <w:sz w:val="24"/>
          <w:lang w:val="zh-CN"/>
        </w:rPr>
        <w:t>详见下表</w:t>
      </w:r>
      <w:bookmarkEnd w:id="39"/>
      <w:r>
        <w:rPr>
          <w:rFonts w:hint="eastAsia" w:asciiTheme="minorEastAsia" w:hAnsiTheme="minorEastAsia" w:eastAsiaTheme="minorEastAsia"/>
          <w:sz w:val="24"/>
          <w:lang w:val="zh-CN"/>
        </w:rPr>
        <w:t>，厂商报价如超过该金额则作废标处理。</w:t>
      </w:r>
    </w:p>
    <w:tbl>
      <w:tblPr>
        <w:tblStyle w:val="22"/>
        <w:tblW w:w="8318" w:type="dxa"/>
        <w:tblInd w:w="93" w:type="dxa"/>
        <w:tblLayout w:type="autofit"/>
        <w:tblCellMar>
          <w:top w:w="0" w:type="dxa"/>
          <w:left w:w="108" w:type="dxa"/>
          <w:bottom w:w="0" w:type="dxa"/>
          <w:right w:w="108" w:type="dxa"/>
        </w:tblCellMar>
      </w:tblPr>
      <w:tblGrid>
        <w:gridCol w:w="1356"/>
        <w:gridCol w:w="2050"/>
        <w:gridCol w:w="950"/>
        <w:gridCol w:w="925"/>
        <w:gridCol w:w="1000"/>
        <w:gridCol w:w="2037"/>
      </w:tblGrid>
      <w:tr w14:paraId="4EEBC0FC">
        <w:tblPrEx>
          <w:tblCellMar>
            <w:top w:w="0" w:type="dxa"/>
            <w:left w:w="108" w:type="dxa"/>
            <w:bottom w:w="0" w:type="dxa"/>
            <w:right w:w="108" w:type="dxa"/>
          </w:tblCellMar>
        </w:tblPrEx>
        <w:trPr>
          <w:trHeight w:val="54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6D655">
            <w:pPr>
              <w:widowControl/>
              <w:jc w:val="left"/>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明细</w:t>
            </w:r>
          </w:p>
        </w:tc>
        <w:tc>
          <w:tcPr>
            <w:tcW w:w="2050" w:type="dxa"/>
            <w:tcBorders>
              <w:top w:val="single" w:color="000000" w:sz="4" w:space="0"/>
              <w:left w:val="nil"/>
              <w:bottom w:val="single" w:color="000000" w:sz="4" w:space="0"/>
              <w:right w:val="single" w:color="000000" w:sz="4" w:space="0"/>
            </w:tcBorders>
            <w:shd w:val="clear" w:color="auto" w:fill="auto"/>
            <w:vAlign w:val="center"/>
          </w:tcPr>
          <w:p w14:paraId="442D4CB6">
            <w:pPr>
              <w:widowControl/>
              <w:jc w:val="left"/>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制作要求</w:t>
            </w:r>
          </w:p>
        </w:tc>
        <w:tc>
          <w:tcPr>
            <w:tcW w:w="950" w:type="dxa"/>
            <w:tcBorders>
              <w:top w:val="single" w:color="000000" w:sz="4" w:space="0"/>
              <w:left w:val="nil"/>
              <w:bottom w:val="single" w:color="000000" w:sz="4" w:space="0"/>
              <w:right w:val="single" w:color="000000" w:sz="4" w:space="0"/>
            </w:tcBorders>
            <w:shd w:val="clear" w:color="auto" w:fill="auto"/>
            <w:vAlign w:val="center"/>
          </w:tcPr>
          <w:p w14:paraId="05DD712C">
            <w:pPr>
              <w:widowControl/>
              <w:jc w:val="left"/>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最高限价单价（元）</w:t>
            </w:r>
          </w:p>
        </w:tc>
        <w:tc>
          <w:tcPr>
            <w:tcW w:w="925" w:type="dxa"/>
            <w:tcBorders>
              <w:top w:val="single" w:color="000000" w:sz="4" w:space="0"/>
              <w:left w:val="nil"/>
              <w:bottom w:val="single" w:color="000000" w:sz="4" w:space="0"/>
              <w:right w:val="single" w:color="000000" w:sz="4" w:space="0"/>
            </w:tcBorders>
            <w:shd w:val="clear" w:color="auto" w:fill="auto"/>
            <w:vAlign w:val="center"/>
          </w:tcPr>
          <w:p w14:paraId="52942B6F">
            <w:pPr>
              <w:widowControl/>
              <w:jc w:val="left"/>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数量</w:t>
            </w:r>
          </w:p>
        </w:tc>
        <w:tc>
          <w:tcPr>
            <w:tcW w:w="1000" w:type="dxa"/>
            <w:tcBorders>
              <w:top w:val="single" w:color="000000" w:sz="4" w:space="0"/>
              <w:left w:val="nil"/>
              <w:bottom w:val="single" w:color="000000" w:sz="4" w:space="0"/>
              <w:right w:val="single" w:color="000000" w:sz="4" w:space="0"/>
            </w:tcBorders>
            <w:shd w:val="clear" w:color="auto" w:fill="auto"/>
            <w:vAlign w:val="center"/>
          </w:tcPr>
          <w:p w14:paraId="364FD18B">
            <w:pPr>
              <w:widowControl/>
              <w:jc w:val="left"/>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单位</w:t>
            </w:r>
          </w:p>
        </w:tc>
        <w:tc>
          <w:tcPr>
            <w:tcW w:w="2037" w:type="dxa"/>
            <w:tcBorders>
              <w:top w:val="single" w:color="000000" w:sz="4" w:space="0"/>
              <w:left w:val="nil"/>
              <w:bottom w:val="single" w:color="000000" w:sz="4" w:space="0"/>
              <w:right w:val="single" w:color="000000" w:sz="4" w:space="0"/>
            </w:tcBorders>
            <w:shd w:val="clear" w:color="auto" w:fill="auto"/>
            <w:vAlign w:val="center"/>
          </w:tcPr>
          <w:p w14:paraId="31761961">
            <w:pPr>
              <w:widowControl/>
              <w:jc w:val="left"/>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备注</w:t>
            </w:r>
          </w:p>
        </w:tc>
      </w:tr>
      <w:tr w14:paraId="3E9E4CF4">
        <w:tblPrEx>
          <w:tblCellMar>
            <w:top w:w="0" w:type="dxa"/>
            <w:left w:w="108" w:type="dxa"/>
            <w:bottom w:w="0" w:type="dxa"/>
            <w:right w:w="108" w:type="dxa"/>
          </w:tblCellMar>
        </w:tblPrEx>
        <w:trPr>
          <w:trHeight w:val="1080" w:hRule="atLeast"/>
        </w:trPr>
        <w:tc>
          <w:tcPr>
            <w:tcW w:w="1356" w:type="dxa"/>
            <w:tcBorders>
              <w:top w:val="nil"/>
              <w:left w:val="single" w:color="000000" w:sz="4" w:space="0"/>
              <w:bottom w:val="single" w:color="000000" w:sz="4" w:space="0"/>
              <w:right w:val="single" w:color="000000" w:sz="4" w:space="0"/>
            </w:tcBorders>
            <w:shd w:val="clear" w:color="auto" w:fill="auto"/>
            <w:vAlign w:val="center"/>
          </w:tcPr>
          <w:p w14:paraId="6AEB822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借记卡制卡</w:t>
            </w:r>
          </w:p>
        </w:tc>
        <w:tc>
          <w:tcPr>
            <w:tcW w:w="2050" w:type="dxa"/>
            <w:tcBorders>
              <w:top w:val="nil"/>
              <w:left w:val="nil"/>
              <w:bottom w:val="single" w:color="000000" w:sz="4" w:space="0"/>
              <w:right w:val="single" w:color="000000" w:sz="4" w:space="0"/>
            </w:tcBorders>
            <w:shd w:val="clear" w:color="auto" w:fill="auto"/>
            <w:vAlign w:val="center"/>
          </w:tcPr>
          <w:p w14:paraId="5F1DB35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空白IC卡+印刷+封装+个人化</w:t>
            </w:r>
          </w:p>
        </w:tc>
        <w:tc>
          <w:tcPr>
            <w:tcW w:w="950" w:type="dxa"/>
            <w:tcBorders>
              <w:top w:val="nil"/>
              <w:left w:val="nil"/>
              <w:bottom w:val="single" w:color="000000" w:sz="4" w:space="0"/>
              <w:right w:val="single" w:color="000000" w:sz="4" w:space="0"/>
            </w:tcBorders>
            <w:shd w:val="clear" w:color="auto" w:fill="auto"/>
            <w:vAlign w:val="center"/>
          </w:tcPr>
          <w:p w14:paraId="4209F30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925" w:type="dxa"/>
            <w:tcBorders>
              <w:top w:val="nil"/>
              <w:left w:val="nil"/>
              <w:bottom w:val="single" w:color="000000" w:sz="4" w:space="0"/>
              <w:right w:val="single" w:color="000000" w:sz="4" w:space="0"/>
            </w:tcBorders>
            <w:shd w:val="clear" w:color="auto" w:fill="auto"/>
            <w:vAlign w:val="center"/>
          </w:tcPr>
          <w:p w14:paraId="49B2E4A2">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1000" w:type="dxa"/>
            <w:tcBorders>
              <w:top w:val="nil"/>
              <w:left w:val="nil"/>
              <w:bottom w:val="single" w:color="000000" w:sz="4" w:space="0"/>
              <w:right w:val="single" w:color="000000" w:sz="4" w:space="0"/>
            </w:tcBorders>
            <w:shd w:val="clear" w:color="auto" w:fill="auto"/>
            <w:vAlign w:val="center"/>
          </w:tcPr>
          <w:p w14:paraId="1796ABA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张</w:t>
            </w:r>
          </w:p>
        </w:tc>
        <w:tc>
          <w:tcPr>
            <w:tcW w:w="2037" w:type="dxa"/>
            <w:tcBorders>
              <w:top w:val="nil"/>
              <w:left w:val="nil"/>
              <w:bottom w:val="single" w:color="000000" w:sz="4" w:space="0"/>
              <w:right w:val="single" w:color="000000" w:sz="4" w:space="0"/>
            </w:tcBorders>
            <w:shd w:val="clear" w:color="auto" w:fill="auto"/>
            <w:vAlign w:val="center"/>
          </w:tcPr>
          <w:p w14:paraId="680FBBF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r>
      <w:tr w14:paraId="6887D505">
        <w:tblPrEx>
          <w:tblCellMar>
            <w:top w:w="0" w:type="dxa"/>
            <w:left w:w="108" w:type="dxa"/>
            <w:bottom w:w="0" w:type="dxa"/>
            <w:right w:w="108" w:type="dxa"/>
          </w:tblCellMar>
        </w:tblPrEx>
        <w:trPr>
          <w:trHeight w:val="1080" w:hRule="atLeast"/>
        </w:trPr>
        <w:tc>
          <w:tcPr>
            <w:tcW w:w="1356" w:type="dxa"/>
            <w:tcBorders>
              <w:top w:val="nil"/>
              <w:left w:val="single" w:color="000000" w:sz="4" w:space="0"/>
              <w:bottom w:val="single" w:color="000000" w:sz="4" w:space="0"/>
              <w:right w:val="single" w:color="000000" w:sz="4" w:space="0"/>
            </w:tcBorders>
            <w:shd w:val="clear" w:color="auto" w:fill="auto"/>
            <w:vAlign w:val="center"/>
          </w:tcPr>
          <w:p w14:paraId="50A1F3E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借记卡同卡号换卡</w:t>
            </w:r>
          </w:p>
        </w:tc>
        <w:tc>
          <w:tcPr>
            <w:tcW w:w="2050" w:type="dxa"/>
            <w:tcBorders>
              <w:top w:val="nil"/>
              <w:left w:val="nil"/>
              <w:bottom w:val="single" w:color="000000" w:sz="4" w:space="0"/>
              <w:right w:val="single" w:color="000000" w:sz="4" w:space="0"/>
            </w:tcBorders>
            <w:shd w:val="clear" w:color="auto" w:fill="auto"/>
            <w:vAlign w:val="center"/>
          </w:tcPr>
          <w:p w14:paraId="27F9931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空白IC卡+印刷+封装+个人化+邮寄</w:t>
            </w:r>
          </w:p>
        </w:tc>
        <w:tc>
          <w:tcPr>
            <w:tcW w:w="950" w:type="dxa"/>
            <w:tcBorders>
              <w:top w:val="nil"/>
              <w:left w:val="nil"/>
              <w:bottom w:val="single" w:color="000000" w:sz="4" w:space="0"/>
              <w:right w:val="single" w:color="000000" w:sz="4" w:space="0"/>
            </w:tcBorders>
            <w:shd w:val="clear" w:color="auto" w:fill="auto"/>
            <w:vAlign w:val="center"/>
          </w:tcPr>
          <w:p w14:paraId="2B35421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925" w:type="dxa"/>
            <w:tcBorders>
              <w:top w:val="nil"/>
              <w:left w:val="nil"/>
              <w:bottom w:val="single" w:color="000000" w:sz="4" w:space="0"/>
              <w:right w:val="single" w:color="000000" w:sz="4" w:space="0"/>
            </w:tcBorders>
            <w:shd w:val="clear" w:color="auto" w:fill="auto"/>
            <w:vAlign w:val="center"/>
          </w:tcPr>
          <w:p w14:paraId="530034D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1000" w:type="dxa"/>
            <w:tcBorders>
              <w:top w:val="nil"/>
              <w:left w:val="nil"/>
              <w:bottom w:val="single" w:color="000000" w:sz="4" w:space="0"/>
              <w:right w:val="single" w:color="000000" w:sz="4" w:space="0"/>
            </w:tcBorders>
            <w:shd w:val="clear" w:color="auto" w:fill="auto"/>
            <w:vAlign w:val="center"/>
          </w:tcPr>
          <w:p w14:paraId="617D322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张</w:t>
            </w:r>
          </w:p>
        </w:tc>
        <w:tc>
          <w:tcPr>
            <w:tcW w:w="2037" w:type="dxa"/>
            <w:tcBorders>
              <w:top w:val="nil"/>
              <w:left w:val="nil"/>
              <w:bottom w:val="single" w:color="000000" w:sz="4" w:space="0"/>
              <w:right w:val="single" w:color="000000" w:sz="4" w:space="0"/>
            </w:tcBorders>
            <w:shd w:val="clear" w:color="auto" w:fill="auto"/>
            <w:vAlign w:val="center"/>
          </w:tcPr>
          <w:p w14:paraId="22443EC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r>
      <w:tr w14:paraId="69A181A7">
        <w:tblPrEx>
          <w:tblCellMar>
            <w:top w:w="0" w:type="dxa"/>
            <w:left w:w="108" w:type="dxa"/>
            <w:bottom w:w="0" w:type="dxa"/>
            <w:right w:w="108" w:type="dxa"/>
          </w:tblCellMar>
        </w:tblPrEx>
        <w:trPr>
          <w:trHeight w:val="540" w:hRule="atLeast"/>
        </w:trPr>
        <w:tc>
          <w:tcPr>
            <w:tcW w:w="1356" w:type="dxa"/>
            <w:tcBorders>
              <w:top w:val="nil"/>
              <w:left w:val="single" w:color="000000" w:sz="4" w:space="0"/>
              <w:bottom w:val="nil"/>
              <w:right w:val="single" w:color="000000" w:sz="4" w:space="0"/>
            </w:tcBorders>
            <w:shd w:val="clear" w:color="auto" w:fill="auto"/>
            <w:vAlign w:val="center"/>
          </w:tcPr>
          <w:p w14:paraId="463E152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密码信封</w:t>
            </w:r>
          </w:p>
        </w:tc>
        <w:tc>
          <w:tcPr>
            <w:tcW w:w="2050" w:type="dxa"/>
            <w:tcBorders>
              <w:top w:val="nil"/>
              <w:left w:val="nil"/>
              <w:bottom w:val="single" w:color="000000" w:sz="4" w:space="0"/>
              <w:right w:val="single" w:color="000000" w:sz="4" w:space="0"/>
            </w:tcBorders>
            <w:shd w:val="clear" w:color="auto" w:fill="auto"/>
            <w:vAlign w:val="center"/>
          </w:tcPr>
          <w:p w14:paraId="42C469C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印刷+个人化</w:t>
            </w:r>
          </w:p>
        </w:tc>
        <w:tc>
          <w:tcPr>
            <w:tcW w:w="950" w:type="dxa"/>
            <w:tcBorders>
              <w:top w:val="nil"/>
              <w:left w:val="nil"/>
              <w:bottom w:val="single" w:color="000000" w:sz="4" w:space="0"/>
              <w:right w:val="single" w:color="000000" w:sz="4" w:space="0"/>
            </w:tcBorders>
            <w:shd w:val="clear" w:color="auto" w:fill="auto"/>
            <w:vAlign w:val="center"/>
          </w:tcPr>
          <w:p w14:paraId="05792732">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1.5</w:t>
            </w:r>
          </w:p>
        </w:tc>
        <w:tc>
          <w:tcPr>
            <w:tcW w:w="925" w:type="dxa"/>
            <w:tcBorders>
              <w:top w:val="nil"/>
              <w:left w:val="nil"/>
              <w:bottom w:val="single" w:color="000000" w:sz="4" w:space="0"/>
              <w:right w:val="single" w:color="000000" w:sz="4" w:space="0"/>
            </w:tcBorders>
            <w:shd w:val="clear" w:color="auto" w:fill="auto"/>
            <w:vAlign w:val="center"/>
          </w:tcPr>
          <w:p w14:paraId="04FF64F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1000" w:type="dxa"/>
            <w:tcBorders>
              <w:top w:val="nil"/>
              <w:left w:val="nil"/>
              <w:bottom w:val="single" w:color="000000" w:sz="4" w:space="0"/>
              <w:right w:val="single" w:color="000000" w:sz="4" w:space="0"/>
            </w:tcBorders>
            <w:shd w:val="clear" w:color="auto" w:fill="auto"/>
            <w:vAlign w:val="center"/>
          </w:tcPr>
          <w:p w14:paraId="64269E2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2037" w:type="dxa"/>
            <w:tcBorders>
              <w:top w:val="nil"/>
              <w:left w:val="nil"/>
              <w:bottom w:val="nil"/>
              <w:right w:val="single" w:color="000000" w:sz="4" w:space="0"/>
            </w:tcBorders>
            <w:shd w:val="clear" w:color="auto" w:fill="auto"/>
            <w:vAlign w:val="center"/>
          </w:tcPr>
          <w:p w14:paraId="486A8FD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r>
      <w:tr w14:paraId="5CFDE199">
        <w:tblPrEx>
          <w:tblCellMar>
            <w:top w:w="0" w:type="dxa"/>
            <w:left w:w="108" w:type="dxa"/>
            <w:bottom w:w="0" w:type="dxa"/>
            <w:right w:w="108" w:type="dxa"/>
          </w:tblCellMar>
        </w:tblPrEx>
        <w:trPr>
          <w:trHeight w:val="285" w:hRule="atLeast"/>
        </w:trPr>
        <w:tc>
          <w:tcPr>
            <w:tcW w:w="1356" w:type="dxa"/>
            <w:vMerge w:val="restart"/>
            <w:tcBorders>
              <w:top w:val="single" w:color="000000" w:sz="4" w:space="0"/>
              <w:left w:val="single" w:color="000000" w:sz="4" w:space="0"/>
              <w:bottom w:val="nil"/>
              <w:right w:val="single" w:color="000000" w:sz="4" w:space="0"/>
            </w:tcBorders>
            <w:shd w:val="clear" w:color="auto" w:fill="auto"/>
            <w:vAlign w:val="center"/>
          </w:tcPr>
          <w:p w14:paraId="33C02E6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特殊工艺卡附加</w:t>
            </w:r>
          </w:p>
        </w:tc>
        <w:tc>
          <w:tcPr>
            <w:tcW w:w="2050" w:type="dxa"/>
            <w:tcBorders>
              <w:top w:val="nil"/>
              <w:left w:val="nil"/>
              <w:bottom w:val="single" w:color="000000" w:sz="4" w:space="0"/>
              <w:right w:val="single" w:color="000000" w:sz="4" w:space="0"/>
            </w:tcBorders>
            <w:shd w:val="clear" w:color="auto" w:fill="auto"/>
            <w:vAlign w:val="center"/>
          </w:tcPr>
          <w:p w14:paraId="00C27E6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立金</w:t>
            </w:r>
          </w:p>
        </w:tc>
        <w:tc>
          <w:tcPr>
            <w:tcW w:w="950" w:type="dxa"/>
            <w:tcBorders>
              <w:top w:val="nil"/>
              <w:left w:val="nil"/>
              <w:bottom w:val="single" w:color="000000" w:sz="4" w:space="0"/>
              <w:right w:val="single" w:color="000000" w:sz="4" w:space="0"/>
            </w:tcBorders>
            <w:shd w:val="clear" w:color="auto" w:fill="auto"/>
            <w:vAlign w:val="center"/>
          </w:tcPr>
          <w:p w14:paraId="06A40A7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925" w:type="dxa"/>
            <w:tcBorders>
              <w:top w:val="nil"/>
              <w:left w:val="nil"/>
              <w:bottom w:val="single" w:color="000000" w:sz="4" w:space="0"/>
              <w:right w:val="single" w:color="000000" w:sz="4" w:space="0"/>
            </w:tcBorders>
            <w:shd w:val="clear" w:color="auto" w:fill="auto"/>
            <w:vAlign w:val="center"/>
          </w:tcPr>
          <w:p w14:paraId="4AE094F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1000" w:type="dxa"/>
            <w:tcBorders>
              <w:top w:val="nil"/>
              <w:left w:val="nil"/>
              <w:bottom w:val="single" w:color="000000" w:sz="4" w:space="0"/>
              <w:right w:val="single" w:color="000000" w:sz="4" w:space="0"/>
            </w:tcBorders>
            <w:shd w:val="clear" w:color="auto" w:fill="auto"/>
            <w:vAlign w:val="center"/>
          </w:tcPr>
          <w:p w14:paraId="3657AB6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张</w:t>
            </w:r>
          </w:p>
        </w:tc>
        <w:tc>
          <w:tcPr>
            <w:tcW w:w="2037" w:type="dxa"/>
            <w:vMerge w:val="restart"/>
            <w:tcBorders>
              <w:top w:val="single" w:color="000000" w:sz="4" w:space="0"/>
              <w:left w:val="single" w:color="000000" w:sz="4" w:space="0"/>
              <w:bottom w:val="nil"/>
              <w:right w:val="single" w:color="000000" w:sz="4" w:space="0"/>
            </w:tcBorders>
            <w:shd w:val="clear" w:color="auto" w:fill="auto"/>
            <w:vAlign w:val="center"/>
          </w:tcPr>
          <w:p w14:paraId="06CEE1E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特殊工艺卡为根据在原卡基础上每附加一种特殊工艺增加单价</w:t>
            </w:r>
          </w:p>
        </w:tc>
      </w:tr>
      <w:tr w14:paraId="26ECC44C">
        <w:tblPrEx>
          <w:tblCellMar>
            <w:top w:w="0" w:type="dxa"/>
            <w:left w:w="108" w:type="dxa"/>
            <w:bottom w:w="0" w:type="dxa"/>
            <w:right w:w="108" w:type="dxa"/>
          </w:tblCellMar>
        </w:tblPrEx>
        <w:trPr>
          <w:trHeight w:val="285" w:hRule="atLeast"/>
        </w:trPr>
        <w:tc>
          <w:tcPr>
            <w:tcW w:w="1356" w:type="dxa"/>
            <w:vMerge w:val="continue"/>
            <w:tcBorders>
              <w:top w:val="single" w:color="000000" w:sz="4" w:space="0"/>
              <w:left w:val="single" w:color="000000" w:sz="4" w:space="0"/>
              <w:bottom w:val="nil"/>
              <w:right w:val="single" w:color="000000" w:sz="4" w:space="0"/>
            </w:tcBorders>
            <w:shd w:val="clear" w:color="auto" w:fill="auto"/>
            <w:vAlign w:val="center"/>
          </w:tcPr>
          <w:p w14:paraId="2E94AD78">
            <w:pPr>
              <w:rPr>
                <w:rFonts w:ascii="宋体" w:hAnsi="宋体" w:eastAsia="宋体" w:cs="宋体"/>
                <w:color w:val="000000"/>
                <w:sz w:val="22"/>
                <w:szCs w:val="22"/>
              </w:rPr>
            </w:pPr>
          </w:p>
        </w:tc>
        <w:tc>
          <w:tcPr>
            <w:tcW w:w="2050" w:type="dxa"/>
            <w:tcBorders>
              <w:top w:val="nil"/>
              <w:left w:val="nil"/>
              <w:bottom w:val="single" w:color="000000" w:sz="4" w:space="0"/>
              <w:right w:val="single" w:color="000000" w:sz="4" w:space="0"/>
            </w:tcBorders>
            <w:shd w:val="clear" w:color="auto" w:fill="auto"/>
            <w:vAlign w:val="center"/>
          </w:tcPr>
          <w:p w14:paraId="7363E66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烫印</w:t>
            </w:r>
          </w:p>
        </w:tc>
        <w:tc>
          <w:tcPr>
            <w:tcW w:w="950" w:type="dxa"/>
            <w:tcBorders>
              <w:top w:val="nil"/>
              <w:left w:val="nil"/>
              <w:bottom w:val="single" w:color="000000" w:sz="4" w:space="0"/>
              <w:right w:val="single" w:color="000000" w:sz="4" w:space="0"/>
            </w:tcBorders>
            <w:shd w:val="clear" w:color="auto" w:fill="auto"/>
            <w:vAlign w:val="center"/>
          </w:tcPr>
          <w:p w14:paraId="7883F4A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1.5</w:t>
            </w:r>
          </w:p>
        </w:tc>
        <w:tc>
          <w:tcPr>
            <w:tcW w:w="925" w:type="dxa"/>
            <w:tcBorders>
              <w:top w:val="nil"/>
              <w:left w:val="nil"/>
              <w:bottom w:val="single" w:color="000000" w:sz="4" w:space="0"/>
              <w:right w:val="single" w:color="000000" w:sz="4" w:space="0"/>
            </w:tcBorders>
            <w:shd w:val="clear" w:color="auto" w:fill="auto"/>
            <w:vAlign w:val="center"/>
          </w:tcPr>
          <w:p w14:paraId="4BFAC5E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1000" w:type="dxa"/>
            <w:tcBorders>
              <w:top w:val="nil"/>
              <w:left w:val="nil"/>
              <w:bottom w:val="single" w:color="000000" w:sz="4" w:space="0"/>
              <w:right w:val="single" w:color="000000" w:sz="4" w:space="0"/>
            </w:tcBorders>
            <w:shd w:val="clear" w:color="auto" w:fill="auto"/>
            <w:vAlign w:val="center"/>
          </w:tcPr>
          <w:p w14:paraId="2457AA4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张</w:t>
            </w:r>
          </w:p>
        </w:tc>
        <w:tc>
          <w:tcPr>
            <w:tcW w:w="2037" w:type="dxa"/>
            <w:vMerge w:val="continue"/>
            <w:tcBorders>
              <w:top w:val="single" w:color="000000" w:sz="4" w:space="0"/>
              <w:left w:val="single" w:color="000000" w:sz="4" w:space="0"/>
              <w:bottom w:val="nil"/>
              <w:right w:val="single" w:color="000000" w:sz="4" w:space="0"/>
            </w:tcBorders>
            <w:shd w:val="clear" w:color="auto" w:fill="auto"/>
            <w:vAlign w:val="center"/>
          </w:tcPr>
          <w:p w14:paraId="7AB9816C">
            <w:pPr>
              <w:rPr>
                <w:rFonts w:ascii="宋体" w:hAnsi="宋体" w:eastAsia="宋体" w:cs="宋体"/>
                <w:color w:val="000000"/>
                <w:sz w:val="22"/>
                <w:szCs w:val="22"/>
              </w:rPr>
            </w:pPr>
          </w:p>
        </w:tc>
      </w:tr>
      <w:tr w14:paraId="168C3C71">
        <w:tblPrEx>
          <w:tblCellMar>
            <w:top w:w="0" w:type="dxa"/>
            <w:left w:w="108" w:type="dxa"/>
            <w:bottom w:w="0" w:type="dxa"/>
            <w:right w:w="108" w:type="dxa"/>
          </w:tblCellMar>
        </w:tblPrEx>
        <w:trPr>
          <w:trHeight w:val="540" w:hRule="atLeast"/>
        </w:trPr>
        <w:tc>
          <w:tcPr>
            <w:tcW w:w="1356" w:type="dxa"/>
            <w:vMerge w:val="continue"/>
            <w:tcBorders>
              <w:top w:val="single" w:color="000000" w:sz="4" w:space="0"/>
              <w:left w:val="single" w:color="000000" w:sz="4" w:space="0"/>
              <w:bottom w:val="nil"/>
              <w:right w:val="single" w:color="000000" w:sz="4" w:space="0"/>
            </w:tcBorders>
            <w:shd w:val="clear" w:color="auto" w:fill="auto"/>
            <w:vAlign w:val="center"/>
          </w:tcPr>
          <w:p w14:paraId="4F401B51">
            <w:pPr>
              <w:rPr>
                <w:rFonts w:ascii="宋体" w:hAnsi="宋体" w:eastAsia="宋体" w:cs="宋体"/>
                <w:color w:val="000000"/>
                <w:sz w:val="22"/>
                <w:szCs w:val="22"/>
              </w:rPr>
            </w:pPr>
          </w:p>
        </w:tc>
        <w:tc>
          <w:tcPr>
            <w:tcW w:w="2050" w:type="dxa"/>
            <w:tcBorders>
              <w:top w:val="nil"/>
              <w:left w:val="nil"/>
              <w:bottom w:val="single" w:color="000000" w:sz="4" w:space="0"/>
              <w:right w:val="single" w:color="000000" w:sz="4" w:space="0"/>
            </w:tcBorders>
            <w:shd w:val="clear" w:color="auto" w:fill="auto"/>
            <w:vAlign w:val="center"/>
          </w:tcPr>
          <w:p w14:paraId="006F9DA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彩色PVC材料</w:t>
            </w:r>
          </w:p>
        </w:tc>
        <w:tc>
          <w:tcPr>
            <w:tcW w:w="950" w:type="dxa"/>
            <w:tcBorders>
              <w:top w:val="nil"/>
              <w:left w:val="nil"/>
              <w:bottom w:val="single" w:color="000000" w:sz="4" w:space="0"/>
              <w:right w:val="single" w:color="000000" w:sz="4" w:space="0"/>
            </w:tcBorders>
            <w:shd w:val="clear" w:color="auto" w:fill="auto"/>
            <w:vAlign w:val="center"/>
          </w:tcPr>
          <w:p w14:paraId="04D51A2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1.5</w:t>
            </w:r>
          </w:p>
        </w:tc>
        <w:tc>
          <w:tcPr>
            <w:tcW w:w="925" w:type="dxa"/>
            <w:tcBorders>
              <w:top w:val="nil"/>
              <w:left w:val="nil"/>
              <w:bottom w:val="single" w:color="000000" w:sz="4" w:space="0"/>
              <w:right w:val="single" w:color="000000" w:sz="4" w:space="0"/>
            </w:tcBorders>
            <w:shd w:val="clear" w:color="auto" w:fill="auto"/>
            <w:vAlign w:val="center"/>
          </w:tcPr>
          <w:p w14:paraId="2152298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1000" w:type="dxa"/>
            <w:tcBorders>
              <w:top w:val="nil"/>
              <w:left w:val="nil"/>
              <w:bottom w:val="single" w:color="000000" w:sz="4" w:space="0"/>
              <w:right w:val="single" w:color="000000" w:sz="4" w:space="0"/>
            </w:tcBorders>
            <w:shd w:val="clear" w:color="auto" w:fill="auto"/>
            <w:vAlign w:val="center"/>
          </w:tcPr>
          <w:p w14:paraId="74EBF8B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张</w:t>
            </w:r>
          </w:p>
        </w:tc>
        <w:tc>
          <w:tcPr>
            <w:tcW w:w="2037" w:type="dxa"/>
            <w:vMerge w:val="continue"/>
            <w:tcBorders>
              <w:top w:val="single" w:color="000000" w:sz="4" w:space="0"/>
              <w:left w:val="single" w:color="000000" w:sz="4" w:space="0"/>
              <w:bottom w:val="nil"/>
              <w:right w:val="single" w:color="000000" w:sz="4" w:space="0"/>
            </w:tcBorders>
            <w:shd w:val="clear" w:color="auto" w:fill="auto"/>
            <w:vAlign w:val="center"/>
          </w:tcPr>
          <w:p w14:paraId="0703425F">
            <w:pPr>
              <w:rPr>
                <w:rFonts w:ascii="宋体" w:hAnsi="宋体" w:eastAsia="宋体" w:cs="宋体"/>
                <w:color w:val="000000"/>
                <w:sz w:val="22"/>
                <w:szCs w:val="22"/>
              </w:rPr>
            </w:pPr>
          </w:p>
        </w:tc>
      </w:tr>
      <w:tr w14:paraId="5613A274">
        <w:tblPrEx>
          <w:tblCellMar>
            <w:top w:w="0" w:type="dxa"/>
            <w:left w:w="108" w:type="dxa"/>
            <w:bottom w:w="0" w:type="dxa"/>
            <w:right w:w="108" w:type="dxa"/>
          </w:tblCellMar>
        </w:tblPrEx>
        <w:trPr>
          <w:trHeight w:val="330" w:hRule="atLeast"/>
        </w:trPr>
        <w:tc>
          <w:tcPr>
            <w:tcW w:w="83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293CD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备注：以上借记卡为国密金融IC卡。</w:t>
            </w:r>
          </w:p>
        </w:tc>
      </w:tr>
    </w:tbl>
    <w:p w14:paraId="0AB97354">
      <w:pPr>
        <w:spacing w:line="360" w:lineRule="auto"/>
        <w:ind w:firstLine="437"/>
        <w:outlineLvl w:val="1"/>
        <w:rPr>
          <w:rFonts w:ascii="宋体" w:hAnsi="宋体" w:eastAsia="宋体"/>
          <w:sz w:val="24"/>
          <w:szCs w:val="18"/>
        </w:rPr>
      </w:pPr>
    </w:p>
    <w:p w14:paraId="216F2E5A">
      <w:pPr>
        <w:spacing w:line="360" w:lineRule="auto"/>
        <w:ind w:firstLine="437"/>
        <w:outlineLvl w:val="1"/>
        <w:rPr>
          <w:rFonts w:ascii="宋体" w:hAnsi="宋体" w:eastAsia="宋体"/>
          <w:b/>
          <w:bCs/>
          <w:sz w:val="24"/>
          <w:szCs w:val="18"/>
        </w:rPr>
      </w:pPr>
      <w:r>
        <w:rPr>
          <w:rFonts w:hint="eastAsia" w:ascii="宋体" w:hAnsi="宋体" w:eastAsia="宋体"/>
          <w:b/>
          <w:bCs/>
          <w:sz w:val="24"/>
          <w:szCs w:val="18"/>
        </w:rPr>
        <w:t>四、其他要求</w:t>
      </w:r>
      <w:bookmarkEnd w:id="37"/>
      <w:bookmarkEnd w:id="38"/>
    </w:p>
    <w:p w14:paraId="4151F72E">
      <w:pPr>
        <w:spacing w:line="360" w:lineRule="auto"/>
        <w:ind w:firstLine="435"/>
        <w:rPr>
          <w:rFonts w:asciiTheme="minorEastAsia" w:hAnsiTheme="minorEastAsia" w:eastAsiaTheme="minorEastAsia"/>
          <w:sz w:val="24"/>
          <w:lang w:val="zh-CN"/>
        </w:rPr>
      </w:pPr>
      <w:r>
        <w:rPr>
          <w:rFonts w:hint="eastAsia" w:asciiTheme="minorEastAsia" w:hAnsiTheme="minorEastAsia" w:eastAsiaTheme="minorEastAsia"/>
          <w:sz w:val="24"/>
          <w:lang w:val="zh-CN"/>
        </w:rPr>
        <w:t>4</w:t>
      </w:r>
      <w:r>
        <w:rPr>
          <w:rFonts w:asciiTheme="minorEastAsia" w:hAnsiTheme="minorEastAsia" w:eastAsiaTheme="minorEastAsia"/>
          <w:sz w:val="24"/>
          <w:lang w:val="zh-CN"/>
        </w:rPr>
        <w:t>.1</w:t>
      </w:r>
      <w:r>
        <w:rPr>
          <w:rFonts w:hint="eastAsia" w:asciiTheme="minorEastAsia" w:hAnsiTheme="minorEastAsia" w:eastAsiaTheme="minorEastAsia"/>
          <w:sz w:val="24"/>
          <w:lang w:val="zh-CN"/>
        </w:rPr>
        <w:t>卡片（卡基）主要技术性能指标要求</w:t>
      </w:r>
    </w:p>
    <w:tbl>
      <w:tblPr>
        <w:tblStyle w:val="22"/>
        <w:tblW w:w="0" w:type="auto"/>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2"/>
        <w:gridCol w:w="2332"/>
        <w:gridCol w:w="5135"/>
      </w:tblGrid>
      <w:tr w14:paraId="46181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62" w:type="dxa"/>
            <w:noWrap/>
            <w:tcMar>
              <w:top w:w="0" w:type="dxa"/>
              <w:left w:w="108" w:type="dxa"/>
              <w:bottom w:w="0" w:type="dxa"/>
              <w:right w:w="108" w:type="dxa"/>
            </w:tcMar>
            <w:vAlign w:val="center"/>
          </w:tcPr>
          <w:p w14:paraId="366D0142">
            <w:pPr>
              <w:jc w:val="center"/>
              <w:rPr>
                <w:rFonts w:cs="Times New Roman" w:asciiTheme="minorEastAsia" w:hAnsiTheme="minorEastAsia" w:eastAsiaTheme="minorEastAsia"/>
                <w:b/>
                <w:bCs/>
                <w:sz w:val="22"/>
                <w:szCs w:val="22"/>
              </w:rPr>
            </w:pPr>
            <w:r>
              <w:rPr>
                <w:rFonts w:hint="eastAsia" w:asciiTheme="minorEastAsia" w:hAnsiTheme="minorEastAsia" w:eastAsiaTheme="minorEastAsia"/>
                <w:b/>
                <w:bCs/>
                <w:sz w:val="22"/>
                <w:szCs w:val="22"/>
              </w:rPr>
              <w:t>序号</w:t>
            </w:r>
          </w:p>
        </w:tc>
        <w:tc>
          <w:tcPr>
            <w:tcW w:w="2332" w:type="dxa"/>
            <w:noWrap/>
            <w:tcMar>
              <w:top w:w="0" w:type="dxa"/>
              <w:left w:w="108" w:type="dxa"/>
              <w:bottom w:w="0" w:type="dxa"/>
              <w:right w:w="108" w:type="dxa"/>
            </w:tcMar>
            <w:vAlign w:val="center"/>
          </w:tcPr>
          <w:p w14:paraId="0ED61CD8">
            <w:pPr>
              <w:jc w:val="center"/>
              <w:rPr>
                <w:rFonts w:asciiTheme="minorEastAsia" w:hAnsiTheme="minorEastAsia" w:eastAsiaTheme="minorEastAsia"/>
                <w:b/>
                <w:bCs/>
                <w:sz w:val="22"/>
                <w:szCs w:val="22"/>
              </w:rPr>
            </w:pPr>
            <w:r>
              <w:rPr>
                <w:rFonts w:hint="eastAsia" w:asciiTheme="minorEastAsia" w:hAnsiTheme="minorEastAsia" w:eastAsiaTheme="minorEastAsia"/>
                <w:b/>
                <w:bCs/>
                <w:sz w:val="22"/>
                <w:szCs w:val="22"/>
              </w:rPr>
              <w:t>项目</w:t>
            </w:r>
          </w:p>
        </w:tc>
        <w:tc>
          <w:tcPr>
            <w:tcW w:w="5135" w:type="dxa"/>
            <w:noWrap/>
            <w:tcMar>
              <w:top w:w="0" w:type="dxa"/>
              <w:left w:w="108" w:type="dxa"/>
              <w:bottom w:w="0" w:type="dxa"/>
              <w:right w:w="108" w:type="dxa"/>
            </w:tcMar>
            <w:vAlign w:val="center"/>
          </w:tcPr>
          <w:p w14:paraId="471D321B">
            <w:pPr>
              <w:jc w:val="center"/>
              <w:rPr>
                <w:rFonts w:asciiTheme="minorEastAsia" w:hAnsiTheme="minorEastAsia" w:eastAsiaTheme="minorEastAsia"/>
                <w:b/>
                <w:bCs/>
                <w:sz w:val="22"/>
                <w:szCs w:val="22"/>
              </w:rPr>
            </w:pPr>
            <w:r>
              <w:rPr>
                <w:rFonts w:hint="eastAsia" w:asciiTheme="minorEastAsia" w:hAnsiTheme="minorEastAsia" w:eastAsiaTheme="minorEastAsia"/>
                <w:b/>
                <w:bCs/>
                <w:sz w:val="22"/>
                <w:szCs w:val="22"/>
              </w:rPr>
              <w:t>要求</w:t>
            </w:r>
          </w:p>
        </w:tc>
      </w:tr>
      <w:tr w14:paraId="24CB6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62" w:type="dxa"/>
            <w:noWrap/>
            <w:tcMar>
              <w:top w:w="0" w:type="dxa"/>
              <w:left w:w="108" w:type="dxa"/>
              <w:bottom w:w="0" w:type="dxa"/>
              <w:right w:w="108" w:type="dxa"/>
            </w:tcMar>
            <w:vAlign w:val="center"/>
          </w:tcPr>
          <w:p w14:paraId="249E7F29">
            <w:pPr>
              <w:jc w:val="center"/>
              <w:rPr>
                <w:rFonts w:asciiTheme="minorEastAsia" w:hAnsiTheme="minorEastAsia" w:eastAsiaTheme="minorEastAsia"/>
                <w:sz w:val="22"/>
                <w:szCs w:val="22"/>
              </w:rPr>
            </w:pPr>
            <w:r>
              <w:rPr>
                <w:rFonts w:hint="eastAsia" w:asciiTheme="minorEastAsia" w:hAnsiTheme="minorEastAsia" w:eastAsiaTheme="minorEastAsia"/>
                <w:sz w:val="22"/>
                <w:szCs w:val="22"/>
              </w:rPr>
              <w:t>1</w:t>
            </w:r>
          </w:p>
        </w:tc>
        <w:tc>
          <w:tcPr>
            <w:tcW w:w="2332" w:type="dxa"/>
            <w:noWrap/>
            <w:tcMar>
              <w:top w:w="0" w:type="dxa"/>
              <w:left w:w="108" w:type="dxa"/>
              <w:bottom w:w="0" w:type="dxa"/>
              <w:right w:w="108" w:type="dxa"/>
            </w:tcMar>
            <w:vAlign w:val="center"/>
          </w:tcPr>
          <w:p w14:paraId="6F810149">
            <w:pPr>
              <w:rPr>
                <w:rFonts w:asciiTheme="minorEastAsia" w:hAnsiTheme="minorEastAsia" w:eastAsiaTheme="minorEastAsia"/>
                <w:sz w:val="22"/>
                <w:szCs w:val="22"/>
              </w:rPr>
            </w:pPr>
            <w:r>
              <w:rPr>
                <w:rFonts w:hint="eastAsia" w:asciiTheme="minorEastAsia" w:hAnsiTheme="minorEastAsia" w:eastAsiaTheme="minorEastAsia"/>
                <w:sz w:val="22"/>
                <w:szCs w:val="22"/>
              </w:rPr>
              <w:t>卡片的标准尺寸</w:t>
            </w:r>
          </w:p>
        </w:tc>
        <w:tc>
          <w:tcPr>
            <w:tcW w:w="5135" w:type="dxa"/>
            <w:noWrap/>
            <w:tcMar>
              <w:top w:w="0" w:type="dxa"/>
              <w:left w:w="108" w:type="dxa"/>
              <w:bottom w:w="0" w:type="dxa"/>
              <w:right w:w="108" w:type="dxa"/>
            </w:tcMar>
          </w:tcPr>
          <w:p w14:paraId="431B52F8">
            <w:pPr>
              <w:rPr>
                <w:rFonts w:asciiTheme="minorEastAsia" w:hAnsiTheme="minorEastAsia" w:eastAsiaTheme="minorEastAsia"/>
                <w:sz w:val="22"/>
                <w:szCs w:val="22"/>
              </w:rPr>
            </w:pPr>
            <w:r>
              <w:rPr>
                <w:rFonts w:hint="eastAsia" w:asciiTheme="minorEastAsia" w:hAnsiTheme="minorEastAsia" w:eastAsiaTheme="minorEastAsia"/>
                <w:sz w:val="22"/>
                <w:szCs w:val="22"/>
              </w:rPr>
              <w:t>长：85.47～85.72mm（85.60 ）</w:t>
            </w:r>
          </w:p>
          <w:p w14:paraId="0A4ABAE8">
            <w:pPr>
              <w:rPr>
                <w:rFonts w:asciiTheme="minorEastAsia" w:hAnsiTheme="minorEastAsia" w:eastAsiaTheme="minorEastAsia"/>
                <w:sz w:val="22"/>
                <w:szCs w:val="22"/>
              </w:rPr>
            </w:pPr>
            <w:r>
              <w:rPr>
                <w:rFonts w:hint="eastAsia" w:asciiTheme="minorEastAsia" w:hAnsiTheme="minorEastAsia" w:eastAsiaTheme="minorEastAsia"/>
                <w:sz w:val="22"/>
                <w:szCs w:val="22"/>
              </w:rPr>
              <w:t>宽：53.92～54.03mm（53.98 ）</w:t>
            </w:r>
          </w:p>
          <w:p w14:paraId="6FF0FC58">
            <w:pPr>
              <w:rPr>
                <w:rFonts w:asciiTheme="minorEastAsia" w:hAnsiTheme="minorEastAsia" w:eastAsiaTheme="minorEastAsia"/>
                <w:sz w:val="22"/>
                <w:szCs w:val="22"/>
              </w:rPr>
            </w:pPr>
            <w:r>
              <w:rPr>
                <w:rFonts w:hint="eastAsia" w:asciiTheme="minorEastAsia" w:hAnsiTheme="minorEastAsia" w:eastAsiaTheme="minorEastAsia"/>
                <w:sz w:val="22"/>
                <w:szCs w:val="22"/>
              </w:rPr>
              <w:t>厚：0.68mm～0.84mm（0.76mm ）</w:t>
            </w:r>
          </w:p>
          <w:p w14:paraId="0B0DA04D">
            <w:pPr>
              <w:rPr>
                <w:rFonts w:asciiTheme="minorEastAsia" w:hAnsiTheme="minorEastAsia" w:eastAsiaTheme="minorEastAsia"/>
                <w:sz w:val="22"/>
                <w:szCs w:val="22"/>
              </w:rPr>
            </w:pPr>
            <w:r>
              <w:rPr>
                <w:rFonts w:hint="eastAsia" w:asciiTheme="minorEastAsia" w:hAnsiTheme="minorEastAsia" w:eastAsiaTheme="minorEastAsia"/>
                <w:sz w:val="22"/>
                <w:szCs w:val="22"/>
              </w:rPr>
              <w:t>圆角过渡半径：3.18mm</w:t>
            </w:r>
          </w:p>
        </w:tc>
      </w:tr>
      <w:tr w14:paraId="2A293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62" w:type="dxa"/>
            <w:noWrap/>
            <w:tcMar>
              <w:top w:w="0" w:type="dxa"/>
              <w:left w:w="108" w:type="dxa"/>
              <w:bottom w:w="0" w:type="dxa"/>
              <w:right w:w="108" w:type="dxa"/>
            </w:tcMar>
            <w:vAlign w:val="center"/>
          </w:tcPr>
          <w:p w14:paraId="2A0EC7F7">
            <w:pPr>
              <w:jc w:val="center"/>
              <w:rPr>
                <w:rFonts w:asciiTheme="minorEastAsia" w:hAnsiTheme="minorEastAsia" w:eastAsiaTheme="minorEastAsia"/>
                <w:sz w:val="22"/>
                <w:szCs w:val="22"/>
              </w:rPr>
            </w:pPr>
            <w:r>
              <w:rPr>
                <w:rFonts w:hint="eastAsia" w:asciiTheme="minorEastAsia" w:hAnsiTheme="minorEastAsia" w:eastAsiaTheme="minorEastAsia"/>
                <w:sz w:val="22"/>
                <w:szCs w:val="22"/>
              </w:rPr>
              <w:t>2</w:t>
            </w:r>
          </w:p>
        </w:tc>
        <w:tc>
          <w:tcPr>
            <w:tcW w:w="2332" w:type="dxa"/>
            <w:noWrap/>
            <w:tcMar>
              <w:top w:w="0" w:type="dxa"/>
              <w:left w:w="108" w:type="dxa"/>
              <w:bottom w:w="0" w:type="dxa"/>
              <w:right w:w="108" w:type="dxa"/>
            </w:tcMar>
            <w:vAlign w:val="center"/>
          </w:tcPr>
          <w:p w14:paraId="141A26ED">
            <w:pPr>
              <w:rPr>
                <w:rFonts w:asciiTheme="minorEastAsia" w:hAnsiTheme="minorEastAsia" w:eastAsiaTheme="minorEastAsia"/>
                <w:sz w:val="22"/>
                <w:szCs w:val="22"/>
              </w:rPr>
            </w:pPr>
            <w:r>
              <w:rPr>
                <w:rFonts w:hint="eastAsia" w:asciiTheme="minorEastAsia" w:hAnsiTheme="minorEastAsia" w:eastAsiaTheme="minorEastAsia"/>
                <w:sz w:val="22"/>
                <w:szCs w:val="22"/>
              </w:rPr>
              <w:t>COS部份</w:t>
            </w:r>
          </w:p>
        </w:tc>
        <w:tc>
          <w:tcPr>
            <w:tcW w:w="5135" w:type="dxa"/>
            <w:noWrap/>
            <w:tcMar>
              <w:top w:w="0" w:type="dxa"/>
              <w:left w:w="108" w:type="dxa"/>
              <w:bottom w:w="0" w:type="dxa"/>
              <w:right w:w="108" w:type="dxa"/>
            </w:tcMar>
          </w:tcPr>
          <w:p w14:paraId="4A53FD8E">
            <w:pPr>
              <w:rPr>
                <w:rFonts w:asciiTheme="minorEastAsia" w:hAnsiTheme="minorEastAsia" w:eastAsiaTheme="minorEastAsia"/>
                <w:sz w:val="22"/>
                <w:szCs w:val="22"/>
              </w:rPr>
            </w:pPr>
            <w:r>
              <w:rPr>
                <w:rFonts w:hint="eastAsia" w:asciiTheme="minorEastAsia" w:hAnsiTheme="minorEastAsia" w:eastAsiaTheme="minorEastAsia"/>
                <w:sz w:val="22"/>
                <w:szCs w:val="22"/>
              </w:rPr>
              <w:t>基于Java平台(支持静态、动态Java应用)</w:t>
            </w:r>
          </w:p>
          <w:p w14:paraId="133317EA">
            <w:pPr>
              <w:rPr>
                <w:rFonts w:asciiTheme="minorEastAsia" w:hAnsiTheme="minorEastAsia" w:eastAsiaTheme="minorEastAsia"/>
                <w:sz w:val="22"/>
                <w:szCs w:val="22"/>
              </w:rPr>
            </w:pPr>
            <w:r>
              <w:rPr>
                <w:rFonts w:hint="eastAsia" w:asciiTheme="minorEastAsia" w:hAnsiTheme="minorEastAsia" w:eastAsiaTheme="minorEastAsia"/>
                <w:sz w:val="22"/>
                <w:szCs w:val="22"/>
              </w:rPr>
              <w:t>支持多安全域管理，支持多应用（可以在卡片中加载PBOC应用外的其他金融或者非金融行业应用。新应用的加载可以在制卡时完成，也可以在发卡后通过脚本完成），需提供中国银联嵌入式软件安全认证。</w:t>
            </w:r>
          </w:p>
        </w:tc>
      </w:tr>
      <w:tr w14:paraId="1C35E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62" w:type="dxa"/>
            <w:noWrap/>
            <w:tcMar>
              <w:top w:w="0" w:type="dxa"/>
              <w:left w:w="108" w:type="dxa"/>
              <w:bottom w:w="0" w:type="dxa"/>
              <w:right w:w="108" w:type="dxa"/>
            </w:tcMar>
            <w:vAlign w:val="center"/>
          </w:tcPr>
          <w:p w14:paraId="096FA9C7">
            <w:pPr>
              <w:jc w:val="center"/>
              <w:rPr>
                <w:rFonts w:asciiTheme="minorEastAsia" w:hAnsiTheme="minorEastAsia" w:eastAsiaTheme="minorEastAsia"/>
                <w:sz w:val="22"/>
                <w:szCs w:val="22"/>
              </w:rPr>
            </w:pPr>
            <w:r>
              <w:rPr>
                <w:rFonts w:hint="eastAsia" w:asciiTheme="minorEastAsia" w:hAnsiTheme="minorEastAsia" w:eastAsiaTheme="minorEastAsia"/>
                <w:sz w:val="22"/>
                <w:szCs w:val="22"/>
              </w:rPr>
              <w:t>3</w:t>
            </w:r>
          </w:p>
        </w:tc>
        <w:tc>
          <w:tcPr>
            <w:tcW w:w="2332" w:type="dxa"/>
            <w:noWrap/>
            <w:tcMar>
              <w:top w:w="0" w:type="dxa"/>
              <w:left w:w="108" w:type="dxa"/>
              <w:bottom w:w="0" w:type="dxa"/>
              <w:right w:w="108" w:type="dxa"/>
            </w:tcMar>
            <w:vAlign w:val="center"/>
          </w:tcPr>
          <w:p w14:paraId="1BD0FC3B">
            <w:pPr>
              <w:rPr>
                <w:rFonts w:asciiTheme="minorEastAsia" w:hAnsiTheme="minorEastAsia" w:eastAsiaTheme="minorEastAsia"/>
                <w:sz w:val="22"/>
                <w:szCs w:val="22"/>
              </w:rPr>
            </w:pPr>
            <w:r>
              <w:rPr>
                <w:rFonts w:hint="eastAsia" w:asciiTheme="minorEastAsia" w:hAnsiTheme="minorEastAsia" w:eastAsiaTheme="minorEastAsia"/>
                <w:sz w:val="22"/>
                <w:szCs w:val="22"/>
              </w:rPr>
              <w:t>芯片部份</w:t>
            </w:r>
          </w:p>
        </w:tc>
        <w:tc>
          <w:tcPr>
            <w:tcW w:w="5135" w:type="dxa"/>
            <w:noWrap/>
            <w:tcMar>
              <w:top w:w="0" w:type="dxa"/>
              <w:left w:w="108" w:type="dxa"/>
              <w:bottom w:w="0" w:type="dxa"/>
              <w:right w:w="108" w:type="dxa"/>
            </w:tcMar>
          </w:tcPr>
          <w:p w14:paraId="3B691B1B">
            <w:pPr>
              <w:rPr>
                <w:rFonts w:asciiTheme="minorEastAsia" w:hAnsiTheme="minorEastAsia" w:eastAsiaTheme="minorEastAsia"/>
                <w:sz w:val="22"/>
                <w:szCs w:val="22"/>
              </w:rPr>
            </w:pPr>
            <w:r>
              <w:rPr>
                <w:rFonts w:hint="eastAsia" w:asciiTheme="minorEastAsia" w:hAnsiTheme="minorEastAsia" w:eastAsiaTheme="minorEastAsia"/>
                <w:sz w:val="22"/>
                <w:szCs w:val="22"/>
              </w:rPr>
              <w:t>通讯方式：接触式、双界面</w:t>
            </w:r>
          </w:p>
          <w:p w14:paraId="4A41B313">
            <w:pPr>
              <w:rPr>
                <w:rFonts w:asciiTheme="minorEastAsia" w:hAnsiTheme="minorEastAsia" w:eastAsiaTheme="minorEastAsia"/>
                <w:sz w:val="22"/>
                <w:szCs w:val="22"/>
              </w:rPr>
            </w:pPr>
            <w:r>
              <w:rPr>
                <w:rFonts w:hint="eastAsia" w:asciiTheme="minorEastAsia" w:hAnsiTheme="minorEastAsia" w:eastAsiaTheme="minorEastAsia"/>
                <w:sz w:val="22"/>
                <w:szCs w:val="22"/>
              </w:rPr>
              <w:t>CPU：8位及以上</w:t>
            </w:r>
          </w:p>
          <w:p w14:paraId="557FB8B1">
            <w:pPr>
              <w:rPr>
                <w:rFonts w:asciiTheme="minorEastAsia" w:hAnsiTheme="minorEastAsia" w:eastAsiaTheme="minorEastAsia"/>
                <w:sz w:val="22"/>
                <w:szCs w:val="22"/>
              </w:rPr>
            </w:pPr>
            <w:r>
              <w:rPr>
                <w:rFonts w:hint="eastAsia" w:asciiTheme="minorEastAsia" w:hAnsiTheme="minorEastAsia" w:eastAsiaTheme="minorEastAsia"/>
                <w:sz w:val="22"/>
                <w:szCs w:val="22"/>
              </w:rPr>
              <w:t>芯片具有以硬掩膜方式加载应用的能力，卡片操作系统、虚拟机以及金融应用必须以硬掩膜的形式全部放在ROM中</w:t>
            </w:r>
          </w:p>
          <w:p w14:paraId="1FDD4182">
            <w:pPr>
              <w:rPr>
                <w:rFonts w:asciiTheme="minorEastAsia" w:hAnsiTheme="minorEastAsia" w:eastAsiaTheme="minorEastAsia"/>
                <w:sz w:val="22"/>
                <w:szCs w:val="22"/>
              </w:rPr>
            </w:pPr>
            <w:r>
              <w:rPr>
                <w:rFonts w:hint="eastAsia" w:asciiTheme="minorEastAsia" w:hAnsiTheme="minorEastAsia" w:eastAsiaTheme="minorEastAsia"/>
                <w:sz w:val="22"/>
                <w:szCs w:val="22"/>
              </w:rPr>
              <w:t>芯片有足够的运算能力，满足扩展要求</w:t>
            </w:r>
          </w:p>
          <w:p w14:paraId="0626DE97">
            <w:pPr>
              <w:rPr>
                <w:rFonts w:asciiTheme="minorEastAsia" w:hAnsiTheme="minorEastAsia" w:eastAsiaTheme="minorEastAsia"/>
                <w:sz w:val="22"/>
                <w:szCs w:val="22"/>
              </w:rPr>
            </w:pPr>
            <w:r>
              <w:rPr>
                <w:rFonts w:hint="eastAsia" w:asciiTheme="minorEastAsia" w:hAnsiTheme="minorEastAsia" w:eastAsiaTheme="minorEastAsia"/>
                <w:sz w:val="22"/>
                <w:szCs w:val="22"/>
              </w:rPr>
              <w:t>芯片支持高速通讯接口</w:t>
            </w:r>
          </w:p>
        </w:tc>
      </w:tr>
      <w:tr w14:paraId="78CA0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62" w:type="dxa"/>
            <w:vMerge w:val="restart"/>
            <w:noWrap/>
            <w:tcMar>
              <w:top w:w="0" w:type="dxa"/>
              <w:left w:w="108" w:type="dxa"/>
              <w:bottom w:w="0" w:type="dxa"/>
              <w:right w:w="108" w:type="dxa"/>
            </w:tcMar>
            <w:vAlign w:val="center"/>
          </w:tcPr>
          <w:p w14:paraId="5B4A9DA6">
            <w:pPr>
              <w:jc w:val="center"/>
              <w:rPr>
                <w:rFonts w:asciiTheme="minorEastAsia" w:hAnsiTheme="minorEastAsia" w:eastAsiaTheme="minorEastAsia"/>
                <w:sz w:val="22"/>
                <w:szCs w:val="22"/>
              </w:rPr>
            </w:pPr>
            <w:r>
              <w:rPr>
                <w:rFonts w:hint="eastAsia" w:asciiTheme="minorEastAsia" w:hAnsiTheme="minorEastAsia" w:eastAsiaTheme="minorEastAsia"/>
                <w:sz w:val="22"/>
                <w:szCs w:val="22"/>
              </w:rPr>
              <w:t>4</w:t>
            </w:r>
          </w:p>
        </w:tc>
        <w:tc>
          <w:tcPr>
            <w:tcW w:w="7467" w:type="dxa"/>
            <w:gridSpan w:val="2"/>
            <w:noWrap/>
            <w:tcMar>
              <w:top w:w="0" w:type="dxa"/>
              <w:left w:w="108" w:type="dxa"/>
              <w:bottom w:w="0" w:type="dxa"/>
              <w:right w:w="108" w:type="dxa"/>
            </w:tcMar>
            <w:vAlign w:val="center"/>
          </w:tcPr>
          <w:p w14:paraId="588EC936">
            <w:pPr>
              <w:rPr>
                <w:rFonts w:asciiTheme="minorEastAsia" w:hAnsiTheme="minorEastAsia" w:eastAsiaTheme="minorEastAsia"/>
                <w:sz w:val="22"/>
                <w:szCs w:val="22"/>
              </w:rPr>
            </w:pPr>
            <w:r>
              <w:rPr>
                <w:rFonts w:hint="eastAsia" w:asciiTheme="minorEastAsia" w:hAnsiTheme="minorEastAsia" w:eastAsiaTheme="minorEastAsia"/>
                <w:sz w:val="22"/>
                <w:szCs w:val="22"/>
              </w:rPr>
              <w:t>芯片质量要求:芯片应达到CC EAL4+及以上认证</w:t>
            </w:r>
          </w:p>
        </w:tc>
      </w:tr>
      <w:tr w14:paraId="7DE6A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62" w:type="dxa"/>
            <w:vMerge w:val="continue"/>
            <w:vAlign w:val="center"/>
          </w:tcPr>
          <w:p w14:paraId="79E09711">
            <w:pPr>
              <w:widowControl/>
              <w:jc w:val="left"/>
              <w:rPr>
                <w:rFonts w:asciiTheme="minorEastAsia" w:hAnsiTheme="minorEastAsia" w:eastAsiaTheme="minorEastAsia"/>
                <w:sz w:val="22"/>
                <w:szCs w:val="22"/>
              </w:rPr>
            </w:pPr>
          </w:p>
        </w:tc>
        <w:tc>
          <w:tcPr>
            <w:tcW w:w="2332" w:type="dxa"/>
            <w:noWrap/>
            <w:tcMar>
              <w:top w:w="0" w:type="dxa"/>
              <w:left w:w="108" w:type="dxa"/>
              <w:bottom w:w="0" w:type="dxa"/>
              <w:right w:w="108" w:type="dxa"/>
            </w:tcMar>
            <w:vAlign w:val="center"/>
          </w:tcPr>
          <w:p w14:paraId="381053E6">
            <w:pPr>
              <w:rPr>
                <w:rFonts w:asciiTheme="minorEastAsia" w:hAnsiTheme="minorEastAsia" w:eastAsiaTheme="minorEastAsia"/>
                <w:sz w:val="22"/>
                <w:szCs w:val="22"/>
              </w:rPr>
            </w:pPr>
            <w:r>
              <w:rPr>
                <w:rFonts w:hint="eastAsia" w:asciiTheme="minorEastAsia" w:hAnsiTheme="minorEastAsia" w:eastAsiaTheme="minorEastAsia"/>
                <w:sz w:val="22"/>
                <w:szCs w:val="22"/>
              </w:rPr>
              <w:t>安全质量检测标准</w:t>
            </w:r>
          </w:p>
        </w:tc>
        <w:tc>
          <w:tcPr>
            <w:tcW w:w="5135" w:type="dxa"/>
            <w:noWrap/>
            <w:tcMar>
              <w:top w:w="0" w:type="dxa"/>
              <w:left w:w="108" w:type="dxa"/>
              <w:bottom w:w="0" w:type="dxa"/>
              <w:right w:w="108" w:type="dxa"/>
            </w:tcMar>
          </w:tcPr>
          <w:p w14:paraId="656F679C">
            <w:pPr>
              <w:rPr>
                <w:rFonts w:asciiTheme="minorEastAsia" w:hAnsiTheme="minorEastAsia" w:eastAsiaTheme="minorEastAsia"/>
                <w:sz w:val="22"/>
                <w:szCs w:val="22"/>
              </w:rPr>
            </w:pPr>
            <w:r>
              <w:rPr>
                <w:rFonts w:hint="eastAsia" w:asciiTheme="minorEastAsia" w:hAnsiTheme="minorEastAsia" w:eastAsiaTheme="minorEastAsia"/>
                <w:sz w:val="22"/>
                <w:szCs w:val="22"/>
              </w:rPr>
              <w:t>芯片应达到CC EAL4+的认证标准或银联卡芯片产品安全认证。</w:t>
            </w:r>
          </w:p>
        </w:tc>
      </w:tr>
      <w:tr w14:paraId="4AA5C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62" w:type="dxa"/>
            <w:vMerge w:val="continue"/>
            <w:vAlign w:val="center"/>
          </w:tcPr>
          <w:p w14:paraId="14FAFDAB">
            <w:pPr>
              <w:widowControl/>
              <w:jc w:val="left"/>
              <w:rPr>
                <w:rFonts w:asciiTheme="minorEastAsia" w:hAnsiTheme="minorEastAsia" w:eastAsiaTheme="minorEastAsia"/>
                <w:sz w:val="22"/>
                <w:szCs w:val="22"/>
              </w:rPr>
            </w:pPr>
          </w:p>
        </w:tc>
        <w:tc>
          <w:tcPr>
            <w:tcW w:w="2332" w:type="dxa"/>
            <w:noWrap/>
            <w:tcMar>
              <w:top w:w="0" w:type="dxa"/>
              <w:left w:w="108" w:type="dxa"/>
              <w:bottom w:w="0" w:type="dxa"/>
              <w:right w:w="108" w:type="dxa"/>
            </w:tcMar>
            <w:vAlign w:val="center"/>
          </w:tcPr>
          <w:p w14:paraId="7BE2503A">
            <w:pPr>
              <w:rPr>
                <w:rFonts w:asciiTheme="minorEastAsia" w:hAnsiTheme="minorEastAsia" w:eastAsiaTheme="minorEastAsia"/>
                <w:sz w:val="22"/>
                <w:szCs w:val="22"/>
              </w:rPr>
            </w:pPr>
            <w:r>
              <w:rPr>
                <w:rFonts w:hint="eastAsia" w:asciiTheme="minorEastAsia" w:hAnsiTheme="minorEastAsia" w:eastAsiaTheme="minorEastAsia"/>
                <w:sz w:val="22"/>
                <w:szCs w:val="22"/>
              </w:rPr>
              <w:t>EEPROM可容量</w:t>
            </w:r>
          </w:p>
        </w:tc>
        <w:tc>
          <w:tcPr>
            <w:tcW w:w="5135" w:type="dxa"/>
            <w:noWrap/>
            <w:tcMar>
              <w:top w:w="0" w:type="dxa"/>
              <w:left w:w="108" w:type="dxa"/>
              <w:bottom w:w="0" w:type="dxa"/>
              <w:right w:w="108" w:type="dxa"/>
            </w:tcMar>
          </w:tcPr>
          <w:p w14:paraId="342CA95F">
            <w:pPr>
              <w:rPr>
                <w:rFonts w:asciiTheme="minorEastAsia" w:hAnsiTheme="minorEastAsia" w:eastAsiaTheme="minorEastAsia"/>
                <w:sz w:val="22"/>
                <w:szCs w:val="22"/>
              </w:rPr>
            </w:pPr>
            <w:r>
              <w:rPr>
                <w:rFonts w:hint="eastAsia" w:asciiTheme="minorEastAsia" w:hAnsiTheme="minorEastAsia" w:eastAsiaTheme="minorEastAsia"/>
                <w:sz w:val="22"/>
                <w:szCs w:val="22"/>
              </w:rPr>
              <w:t>Java卡容量为</w:t>
            </w:r>
          </w:p>
          <w:p w14:paraId="306A755C">
            <w:pPr>
              <w:rPr>
                <w:rFonts w:asciiTheme="minorEastAsia" w:hAnsiTheme="minorEastAsia" w:eastAsiaTheme="minorEastAsia"/>
                <w:sz w:val="22"/>
                <w:szCs w:val="22"/>
              </w:rPr>
            </w:pPr>
            <w:r>
              <w:rPr>
                <w:rFonts w:hint="eastAsia" w:asciiTheme="minorEastAsia" w:hAnsiTheme="minorEastAsia" w:eastAsiaTheme="minorEastAsia"/>
                <w:sz w:val="22"/>
                <w:szCs w:val="22"/>
              </w:rPr>
              <w:t>36K产品≥36k</w:t>
            </w:r>
          </w:p>
          <w:p w14:paraId="7F2507B6">
            <w:pPr>
              <w:rPr>
                <w:rFonts w:asciiTheme="minorEastAsia" w:hAnsiTheme="minorEastAsia" w:eastAsiaTheme="minorEastAsia"/>
                <w:sz w:val="22"/>
                <w:szCs w:val="22"/>
              </w:rPr>
            </w:pPr>
            <w:r>
              <w:rPr>
                <w:rFonts w:hint="eastAsia" w:asciiTheme="minorEastAsia" w:hAnsiTheme="minorEastAsia" w:eastAsiaTheme="minorEastAsia"/>
                <w:sz w:val="22"/>
                <w:szCs w:val="22"/>
              </w:rPr>
              <w:t>72K产品≥72K</w:t>
            </w:r>
          </w:p>
        </w:tc>
      </w:tr>
      <w:tr w14:paraId="45047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62" w:type="dxa"/>
            <w:vMerge w:val="continue"/>
            <w:vAlign w:val="center"/>
          </w:tcPr>
          <w:p w14:paraId="53F4E436">
            <w:pPr>
              <w:widowControl/>
              <w:jc w:val="left"/>
              <w:rPr>
                <w:rFonts w:asciiTheme="minorEastAsia" w:hAnsiTheme="minorEastAsia" w:eastAsiaTheme="minorEastAsia"/>
                <w:sz w:val="22"/>
                <w:szCs w:val="22"/>
              </w:rPr>
            </w:pPr>
          </w:p>
        </w:tc>
        <w:tc>
          <w:tcPr>
            <w:tcW w:w="2332" w:type="dxa"/>
            <w:noWrap/>
            <w:tcMar>
              <w:top w:w="0" w:type="dxa"/>
              <w:left w:w="108" w:type="dxa"/>
              <w:bottom w:w="0" w:type="dxa"/>
              <w:right w:w="108" w:type="dxa"/>
            </w:tcMar>
            <w:vAlign w:val="center"/>
          </w:tcPr>
          <w:p w14:paraId="74E3CB86">
            <w:pPr>
              <w:rPr>
                <w:rFonts w:asciiTheme="minorEastAsia" w:hAnsiTheme="minorEastAsia" w:eastAsiaTheme="minorEastAsia"/>
                <w:sz w:val="22"/>
                <w:szCs w:val="22"/>
              </w:rPr>
            </w:pPr>
            <w:r>
              <w:rPr>
                <w:rFonts w:hint="eastAsia" w:asciiTheme="minorEastAsia" w:hAnsiTheme="minorEastAsia" w:eastAsiaTheme="minorEastAsia"/>
                <w:sz w:val="22"/>
                <w:szCs w:val="22"/>
              </w:rPr>
              <w:t>EEPROM可擦写次数</w:t>
            </w:r>
          </w:p>
        </w:tc>
        <w:tc>
          <w:tcPr>
            <w:tcW w:w="5135" w:type="dxa"/>
            <w:noWrap/>
            <w:tcMar>
              <w:top w:w="0" w:type="dxa"/>
              <w:left w:w="108" w:type="dxa"/>
              <w:bottom w:w="0" w:type="dxa"/>
              <w:right w:w="108" w:type="dxa"/>
            </w:tcMar>
          </w:tcPr>
          <w:p w14:paraId="6203C0B3">
            <w:pPr>
              <w:rPr>
                <w:rFonts w:asciiTheme="minorEastAsia" w:hAnsiTheme="minorEastAsia" w:eastAsiaTheme="minorEastAsia"/>
                <w:sz w:val="22"/>
                <w:szCs w:val="22"/>
              </w:rPr>
            </w:pPr>
            <w:r>
              <w:rPr>
                <w:rFonts w:hint="eastAsia" w:asciiTheme="minorEastAsia" w:hAnsiTheme="minorEastAsia" w:eastAsiaTheme="minorEastAsia"/>
                <w:sz w:val="22"/>
                <w:szCs w:val="22"/>
              </w:rPr>
              <w:t>≥10万次</w:t>
            </w:r>
          </w:p>
        </w:tc>
      </w:tr>
      <w:tr w14:paraId="707B0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62" w:type="dxa"/>
            <w:vMerge w:val="continue"/>
            <w:vAlign w:val="center"/>
          </w:tcPr>
          <w:p w14:paraId="577ABF2E">
            <w:pPr>
              <w:widowControl/>
              <w:jc w:val="left"/>
              <w:rPr>
                <w:rFonts w:asciiTheme="minorEastAsia" w:hAnsiTheme="minorEastAsia" w:eastAsiaTheme="minorEastAsia"/>
                <w:sz w:val="22"/>
                <w:szCs w:val="22"/>
              </w:rPr>
            </w:pPr>
          </w:p>
        </w:tc>
        <w:tc>
          <w:tcPr>
            <w:tcW w:w="2332" w:type="dxa"/>
            <w:noWrap/>
            <w:tcMar>
              <w:top w:w="0" w:type="dxa"/>
              <w:left w:w="108" w:type="dxa"/>
              <w:bottom w:w="0" w:type="dxa"/>
              <w:right w:w="108" w:type="dxa"/>
            </w:tcMar>
            <w:vAlign w:val="center"/>
          </w:tcPr>
          <w:p w14:paraId="1B052500">
            <w:pPr>
              <w:rPr>
                <w:rFonts w:asciiTheme="minorEastAsia" w:hAnsiTheme="minorEastAsia" w:eastAsiaTheme="minorEastAsia"/>
                <w:sz w:val="22"/>
                <w:szCs w:val="22"/>
              </w:rPr>
            </w:pPr>
            <w:r>
              <w:rPr>
                <w:rFonts w:hint="eastAsia" w:asciiTheme="minorEastAsia" w:hAnsiTheme="minorEastAsia" w:eastAsiaTheme="minorEastAsia"/>
                <w:sz w:val="22"/>
                <w:szCs w:val="22"/>
              </w:rPr>
              <w:t>数据保存时间</w:t>
            </w:r>
          </w:p>
        </w:tc>
        <w:tc>
          <w:tcPr>
            <w:tcW w:w="5135" w:type="dxa"/>
            <w:noWrap/>
            <w:tcMar>
              <w:top w:w="0" w:type="dxa"/>
              <w:left w:w="108" w:type="dxa"/>
              <w:bottom w:w="0" w:type="dxa"/>
              <w:right w:w="108" w:type="dxa"/>
            </w:tcMar>
          </w:tcPr>
          <w:p w14:paraId="2F6929F2">
            <w:pPr>
              <w:rPr>
                <w:rFonts w:asciiTheme="minorEastAsia" w:hAnsiTheme="minorEastAsia" w:eastAsiaTheme="minorEastAsia"/>
                <w:sz w:val="22"/>
                <w:szCs w:val="22"/>
              </w:rPr>
            </w:pPr>
            <w:r>
              <w:rPr>
                <w:rFonts w:hint="eastAsia" w:asciiTheme="minorEastAsia" w:hAnsiTheme="minorEastAsia" w:eastAsiaTheme="minorEastAsia"/>
                <w:sz w:val="22"/>
                <w:szCs w:val="22"/>
              </w:rPr>
              <w:t>≥10年</w:t>
            </w:r>
          </w:p>
        </w:tc>
      </w:tr>
      <w:tr w14:paraId="3F1E3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62" w:type="dxa"/>
            <w:vMerge w:val="continue"/>
            <w:vAlign w:val="center"/>
          </w:tcPr>
          <w:p w14:paraId="3A6A74AF">
            <w:pPr>
              <w:widowControl/>
              <w:jc w:val="left"/>
              <w:rPr>
                <w:rFonts w:asciiTheme="minorEastAsia" w:hAnsiTheme="minorEastAsia" w:eastAsiaTheme="minorEastAsia"/>
                <w:sz w:val="22"/>
                <w:szCs w:val="22"/>
              </w:rPr>
            </w:pPr>
          </w:p>
        </w:tc>
        <w:tc>
          <w:tcPr>
            <w:tcW w:w="2332" w:type="dxa"/>
            <w:noWrap/>
            <w:tcMar>
              <w:top w:w="0" w:type="dxa"/>
              <w:left w:w="108" w:type="dxa"/>
              <w:bottom w:w="0" w:type="dxa"/>
              <w:right w:w="108" w:type="dxa"/>
            </w:tcMar>
            <w:vAlign w:val="center"/>
          </w:tcPr>
          <w:p w14:paraId="210B20F0">
            <w:pPr>
              <w:rPr>
                <w:rFonts w:asciiTheme="minorEastAsia" w:hAnsiTheme="minorEastAsia" w:eastAsiaTheme="minorEastAsia"/>
                <w:sz w:val="22"/>
                <w:szCs w:val="22"/>
              </w:rPr>
            </w:pPr>
            <w:r>
              <w:rPr>
                <w:rFonts w:hint="eastAsia" w:asciiTheme="minorEastAsia" w:hAnsiTheme="minorEastAsia" w:eastAsiaTheme="minorEastAsia"/>
                <w:sz w:val="22"/>
                <w:szCs w:val="22"/>
              </w:rPr>
              <w:t>工作温度</w:t>
            </w:r>
          </w:p>
        </w:tc>
        <w:tc>
          <w:tcPr>
            <w:tcW w:w="5135" w:type="dxa"/>
            <w:noWrap/>
            <w:tcMar>
              <w:top w:w="0" w:type="dxa"/>
              <w:left w:w="108" w:type="dxa"/>
              <w:bottom w:w="0" w:type="dxa"/>
              <w:right w:w="108" w:type="dxa"/>
            </w:tcMar>
          </w:tcPr>
          <w:p w14:paraId="42FB55FA">
            <w:pPr>
              <w:rPr>
                <w:rFonts w:asciiTheme="minorEastAsia" w:hAnsiTheme="minorEastAsia" w:eastAsiaTheme="minorEastAsia"/>
                <w:sz w:val="22"/>
                <w:szCs w:val="22"/>
              </w:rPr>
            </w:pPr>
            <w:r>
              <w:rPr>
                <w:rFonts w:hint="eastAsia" w:asciiTheme="minorEastAsia" w:hAnsiTheme="minorEastAsia" w:eastAsiaTheme="minorEastAsia"/>
                <w:sz w:val="22"/>
                <w:szCs w:val="22"/>
              </w:rPr>
              <w:t>-25℃—+85℃</w:t>
            </w:r>
          </w:p>
        </w:tc>
      </w:tr>
      <w:tr w14:paraId="08B26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62" w:type="dxa"/>
            <w:vMerge w:val="continue"/>
            <w:vAlign w:val="center"/>
          </w:tcPr>
          <w:p w14:paraId="05A023D8">
            <w:pPr>
              <w:widowControl/>
              <w:jc w:val="left"/>
              <w:rPr>
                <w:rFonts w:asciiTheme="minorEastAsia" w:hAnsiTheme="minorEastAsia" w:eastAsiaTheme="minorEastAsia"/>
                <w:sz w:val="22"/>
                <w:szCs w:val="22"/>
              </w:rPr>
            </w:pPr>
          </w:p>
        </w:tc>
        <w:tc>
          <w:tcPr>
            <w:tcW w:w="2332" w:type="dxa"/>
            <w:noWrap/>
            <w:tcMar>
              <w:top w:w="0" w:type="dxa"/>
              <w:left w:w="108" w:type="dxa"/>
              <w:bottom w:w="0" w:type="dxa"/>
              <w:right w:w="108" w:type="dxa"/>
            </w:tcMar>
            <w:vAlign w:val="center"/>
          </w:tcPr>
          <w:p w14:paraId="6B8BCF89">
            <w:pPr>
              <w:rPr>
                <w:rFonts w:asciiTheme="minorEastAsia" w:hAnsiTheme="minorEastAsia" w:eastAsiaTheme="minorEastAsia"/>
                <w:sz w:val="22"/>
                <w:szCs w:val="22"/>
              </w:rPr>
            </w:pPr>
            <w:r>
              <w:rPr>
                <w:rFonts w:hint="eastAsia" w:asciiTheme="minorEastAsia" w:hAnsiTheme="minorEastAsia" w:eastAsiaTheme="minorEastAsia"/>
                <w:sz w:val="22"/>
                <w:szCs w:val="22"/>
              </w:rPr>
              <w:t>非接触脱机交易时间</w:t>
            </w:r>
          </w:p>
        </w:tc>
        <w:tc>
          <w:tcPr>
            <w:tcW w:w="5135" w:type="dxa"/>
            <w:noWrap/>
            <w:tcMar>
              <w:top w:w="0" w:type="dxa"/>
              <w:left w:w="108" w:type="dxa"/>
              <w:bottom w:w="0" w:type="dxa"/>
              <w:right w:w="108" w:type="dxa"/>
            </w:tcMar>
          </w:tcPr>
          <w:p w14:paraId="6DA5B234">
            <w:pPr>
              <w:rPr>
                <w:rFonts w:asciiTheme="minorEastAsia" w:hAnsiTheme="minorEastAsia" w:eastAsiaTheme="minorEastAsia"/>
                <w:sz w:val="22"/>
                <w:szCs w:val="22"/>
              </w:rPr>
            </w:pPr>
            <w:r>
              <w:rPr>
                <w:rFonts w:hint="eastAsia" w:asciiTheme="minorEastAsia" w:hAnsiTheme="minorEastAsia" w:eastAsiaTheme="minorEastAsia"/>
                <w:sz w:val="22"/>
                <w:szCs w:val="22"/>
              </w:rPr>
              <w:t>1024位标准电子现金交易时间≤500MS</w:t>
            </w:r>
          </w:p>
        </w:tc>
      </w:tr>
      <w:tr w14:paraId="7B18F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62" w:type="dxa"/>
            <w:vMerge w:val="continue"/>
            <w:vAlign w:val="center"/>
          </w:tcPr>
          <w:p w14:paraId="3E9C89FD">
            <w:pPr>
              <w:widowControl/>
              <w:jc w:val="left"/>
              <w:rPr>
                <w:rFonts w:asciiTheme="minorEastAsia" w:hAnsiTheme="minorEastAsia" w:eastAsiaTheme="minorEastAsia"/>
                <w:sz w:val="22"/>
                <w:szCs w:val="22"/>
              </w:rPr>
            </w:pPr>
          </w:p>
        </w:tc>
        <w:tc>
          <w:tcPr>
            <w:tcW w:w="2332" w:type="dxa"/>
            <w:noWrap/>
            <w:tcMar>
              <w:top w:w="0" w:type="dxa"/>
              <w:left w:w="108" w:type="dxa"/>
              <w:bottom w:w="0" w:type="dxa"/>
              <w:right w:w="108" w:type="dxa"/>
            </w:tcMar>
            <w:vAlign w:val="center"/>
          </w:tcPr>
          <w:p w14:paraId="16667665">
            <w:pPr>
              <w:rPr>
                <w:rFonts w:asciiTheme="minorEastAsia" w:hAnsiTheme="minorEastAsia" w:eastAsiaTheme="minorEastAsia"/>
                <w:sz w:val="22"/>
                <w:szCs w:val="22"/>
              </w:rPr>
            </w:pPr>
            <w:r>
              <w:rPr>
                <w:rFonts w:hint="eastAsia" w:asciiTheme="minorEastAsia" w:hAnsiTheme="minorEastAsia" w:eastAsiaTheme="minorEastAsia"/>
                <w:sz w:val="22"/>
                <w:szCs w:val="22"/>
              </w:rPr>
              <w:t>通讯方式</w:t>
            </w:r>
          </w:p>
        </w:tc>
        <w:tc>
          <w:tcPr>
            <w:tcW w:w="5135" w:type="dxa"/>
            <w:noWrap/>
            <w:tcMar>
              <w:top w:w="0" w:type="dxa"/>
              <w:left w:w="108" w:type="dxa"/>
              <w:bottom w:w="0" w:type="dxa"/>
              <w:right w:w="108" w:type="dxa"/>
            </w:tcMar>
          </w:tcPr>
          <w:p w14:paraId="73D8BF1B">
            <w:pPr>
              <w:rPr>
                <w:rFonts w:asciiTheme="minorEastAsia" w:hAnsiTheme="minorEastAsia" w:eastAsiaTheme="minorEastAsia"/>
                <w:sz w:val="22"/>
                <w:szCs w:val="22"/>
              </w:rPr>
            </w:pPr>
            <w:r>
              <w:rPr>
                <w:rFonts w:hint="eastAsia" w:asciiTheme="minorEastAsia" w:hAnsiTheme="minorEastAsia" w:eastAsiaTheme="minorEastAsia"/>
                <w:sz w:val="22"/>
                <w:szCs w:val="22"/>
              </w:rPr>
              <w:t>接触式双界面</w:t>
            </w:r>
          </w:p>
          <w:p w14:paraId="5D285469">
            <w:pPr>
              <w:rPr>
                <w:rFonts w:asciiTheme="minorEastAsia" w:hAnsiTheme="minorEastAsia" w:eastAsiaTheme="minorEastAsia"/>
                <w:sz w:val="22"/>
                <w:szCs w:val="22"/>
              </w:rPr>
            </w:pPr>
            <w:r>
              <w:rPr>
                <w:rFonts w:hint="eastAsia" w:asciiTheme="minorEastAsia" w:hAnsiTheme="minorEastAsia" w:eastAsiaTheme="minorEastAsia"/>
                <w:sz w:val="22"/>
                <w:szCs w:val="22"/>
              </w:rPr>
              <w:t>1、支持协议</w:t>
            </w:r>
          </w:p>
          <w:p w14:paraId="6F3B25AB">
            <w:pPr>
              <w:rPr>
                <w:rFonts w:asciiTheme="minorEastAsia" w:hAnsiTheme="minorEastAsia" w:eastAsiaTheme="minorEastAsia"/>
                <w:sz w:val="22"/>
                <w:szCs w:val="22"/>
              </w:rPr>
            </w:pPr>
            <w:r>
              <w:rPr>
                <w:rFonts w:hint="eastAsia" w:asciiTheme="minorEastAsia" w:hAnsiTheme="minorEastAsia" w:eastAsiaTheme="minorEastAsia"/>
                <w:sz w:val="22"/>
                <w:szCs w:val="22"/>
              </w:rPr>
              <w:t>接触界面：ISO 7816 T=0/T=1，工作电压须支持3V、5V工作电压。</w:t>
            </w:r>
          </w:p>
          <w:p w14:paraId="4B21160B">
            <w:pPr>
              <w:rPr>
                <w:rFonts w:asciiTheme="minorEastAsia" w:hAnsiTheme="minorEastAsia" w:eastAsiaTheme="minorEastAsia"/>
                <w:sz w:val="22"/>
                <w:szCs w:val="22"/>
              </w:rPr>
            </w:pPr>
            <w:r>
              <w:rPr>
                <w:rFonts w:hint="eastAsia" w:asciiTheme="minorEastAsia" w:hAnsiTheme="minorEastAsia" w:eastAsiaTheme="minorEastAsia"/>
                <w:sz w:val="22"/>
                <w:szCs w:val="22"/>
              </w:rPr>
              <w:t>非接触界面：ISO 14443 Type A/B。</w:t>
            </w:r>
          </w:p>
          <w:p w14:paraId="4F5786D3">
            <w:pPr>
              <w:rPr>
                <w:rFonts w:asciiTheme="minorEastAsia" w:hAnsiTheme="minorEastAsia" w:eastAsiaTheme="minorEastAsia"/>
                <w:sz w:val="22"/>
                <w:szCs w:val="22"/>
              </w:rPr>
            </w:pPr>
            <w:r>
              <w:rPr>
                <w:rFonts w:hint="eastAsia" w:asciiTheme="minorEastAsia" w:hAnsiTheme="minorEastAsia" w:eastAsiaTheme="minorEastAsia"/>
                <w:sz w:val="22"/>
                <w:szCs w:val="22"/>
              </w:rPr>
              <w:t>2、传输速率（Transmission Speed）</w:t>
            </w:r>
          </w:p>
          <w:p w14:paraId="6BDC3CE4">
            <w:pPr>
              <w:rPr>
                <w:rFonts w:asciiTheme="minorEastAsia" w:hAnsiTheme="minorEastAsia" w:eastAsiaTheme="minorEastAsia"/>
                <w:sz w:val="22"/>
                <w:szCs w:val="22"/>
              </w:rPr>
            </w:pPr>
            <w:r>
              <w:rPr>
                <w:rFonts w:hint="eastAsia" w:asciiTheme="minorEastAsia" w:hAnsiTheme="minorEastAsia" w:eastAsiaTheme="minorEastAsia"/>
                <w:sz w:val="22"/>
                <w:szCs w:val="22"/>
              </w:rPr>
              <w:t>传输速率取值范围：接触界面9600bps - 115Kbps；非接触界面106Kbps及以上。</w:t>
            </w:r>
          </w:p>
        </w:tc>
      </w:tr>
      <w:tr w14:paraId="0D16F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62" w:type="dxa"/>
            <w:vMerge w:val="continue"/>
            <w:vAlign w:val="center"/>
          </w:tcPr>
          <w:p w14:paraId="08597931">
            <w:pPr>
              <w:widowControl/>
              <w:jc w:val="left"/>
              <w:rPr>
                <w:rFonts w:asciiTheme="minorEastAsia" w:hAnsiTheme="minorEastAsia" w:eastAsiaTheme="minorEastAsia"/>
                <w:sz w:val="22"/>
                <w:szCs w:val="22"/>
              </w:rPr>
            </w:pPr>
          </w:p>
        </w:tc>
        <w:tc>
          <w:tcPr>
            <w:tcW w:w="2332" w:type="dxa"/>
            <w:noWrap/>
            <w:tcMar>
              <w:top w:w="0" w:type="dxa"/>
              <w:left w:w="108" w:type="dxa"/>
              <w:bottom w:w="0" w:type="dxa"/>
              <w:right w:w="108" w:type="dxa"/>
            </w:tcMar>
            <w:vAlign w:val="center"/>
          </w:tcPr>
          <w:p w14:paraId="6B8AF8A2">
            <w:pPr>
              <w:rPr>
                <w:rFonts w:asciiTheme="minorEastAsia" w:hAnsiTheme="minorEastAsia" w:eastAsiaTheme="minorEastAsia"/>
                <w:sz w:val="22"/>
                <w:szCs w:val="22"/>
              </w:rPr>
            </w:pPr>
            <w:r>
              <w:rPr>
                <w:rFonts w:hint="eastAsia" w:asciiTheme="minorEastAsia" w:hAnsiTheme="minorEastAsia" w:eastAsiaTheme="minorEastAsia"/>
                <w:sz w:val="22"/>
                <w:szCs w:val="22"/>
              </w:rPr>
              <w:t>CPU</w:t>
            </w:r>
          </w:p>
        </w:tc>
        <w:tc>
          <w:tcPr>
            <w:tcW w:w="5135" w:type="dxa"/>
            <w:noWrap/>
            <w:tcMar>
              <w:top w:w="0" w:type="dxa"/>
              <w:left w:w="108" w:type="dxa"/>
              <w:bottom w:w="0" w:type="dxa"/>
              <w:right w:w="108" w:type="dxa"/>
            </w:tcMar>
          </w:tcPr>
          <w:p w14:paraId="4D7142A8">
            <w:pPr>
              <w:rPr>
                <w:rFonts w:asciiTheme="minorEastAsia" w:hAnsiTheme="minorEastAsia" w:eastAsiaTheme="minorEastAsia"/>
                <w:sz w:val="22"/>
                <w:szCs w:val="22"/>
              </w:rPr>
            </w:pPr>
            <w:r>
              <w:rPr>
                <w:rFonts w:hint="eastAsia" w:asciiTheme="minorEastAsia" w:hAnsiTheme="minorEastAsia" w:eastAsiaTheme="minorEastAsia"/>
                <w:sz w:val="22"/>
                <w:szCs w:val="22"/>
              </w:rPr>
              <w:t>8位及以上</w:t>
            </w:r>
          </w:p>
        </w:tc>
      </w:tr>
      <w:tr w14:paraId="4B3E2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62" w:type="dxa"/>
            <w:vMerge w:val="continue"/>
            <w:vAlign w:val="center"/>
          </w:tcPr>
          <w:p w14:paraId="4638C04E">
            <w:pPr>
              <w:widowControl/>
              <w:jc w:val="left"/>
              <w:rPr>
                <w:rFonts w:asciiTheme="minorEastAsia" w:hAnsiTheme="minorEastAsia" w:eastAsiaTheme="minorEastAsia"/>
                <w:sz w:val="22"/>
                <w:szCs w:val="22"/>
              </w:rPr>
            </w:pPr>
          </w:p>
        </w:tc>
        <w:tc>
          <w:tcPr>
            <w:tcW w:w="2332" w:type="dxa"/>
            <w:noWrap/>
            <w:tcMar>
              <w:top w:w="0" w:type="dxa"/>
              <w:left w:w="108" w:type="dxa"/>
              <w:bottom w:w="0" w:type="dxa"/>
              <w:right w:w="108" w:type="dxa"/>
            </w:tcMar>
            <w:vAlign w:val="center"/>
          </w:tcPr>
          <w:p w14:paraId="0A364A07">
            <w:pPr>
              <w:rPr>
                <w:rFonts w:asciiTheme="minorEastAsia" w:hAnsiTheme="minorEastAsia" w:eastAsiaTheme="minorEastAsia"/>
                <w:sz w:val="22"/>
                <w:szCs w:val="22"/>
              </w:rPr>
            </w:pPr>
            <w:r>
              <w:rPr>
                <w:rFonts w:hint="eastAsia" w:asciiTheme="minorEastAsia" w:hAnsiTheme="minorEastAsia" w:eastAsiaTheme="minorEastAsia"/>
                <w:sz w:val="22"/>
                <w:szCs w:val="22"/>
              </w:rPr>
              <w:t>密码处理器</w:t>
            </w:r>
          </w:p>
        </w:tc>
        <w:tc>
          <w:tcPr>
            <w:tcW w:w="5135" w:type="dxa"/>
            <w:noWrap/>
            <w:tcMar>
              <w:top w:w="0" w:type="dxa"/>
              <w:left w:w="108" w:type="dxa"/>
              <w:bottom w:w="0" w:type="dxa"/>
              <w:right w:w="108" w:type="dxa"/>
            </w:tcMar>
          </w:tcPr>
          <w:p w14:paraId="5FC2B247">
            <w:pPr>
              <w:rPr>
                <w:rFonts w:asciiTheme="minorEastAsia" w:hAnsiTheme="minorEastAsia" w:eastAsiaTheme="minorEastAsia"/>
                <w:sz w:val="22"/>
                <w:szCs w:val="22"/>
              </w:rPr>
            </w:pPr>
            <w:r>
              <w:rPr>
                <w:rFonts w:hint="eastAsia" w:asciiTheme="minorEastAsia" w:hAnsiTheme="minorEastAsia" w:eastAsiaTheme="minorEastAsia"/>
                <w:sz w:val="22"/>
                <w:szCs w:val="22"/>
              </w:rPr>
              <w:t>芯片提供硬件RSA处理器和硬件随机数发生器。提供硬件加密算法，国际算法要支持对称体系的DES、3DES算法，非对称体系的RSA算法。国密算法要支持对称体系的SM4算法，非对称要支持SM2算法；支持1024位以上RSA 密钥及256位以上SM2密钥，及1024位以DDA\CDA(CDA非强制)。支持国密的SM2/SM3/SM4等国密算法；芯片卡需要实现DDA\CDA(CDA非强制)卡片验证方法以及其他PBOC安全规范中要求的加解密功能包括脱机PIN验证，发卡行认证，脚本解密和验证处理</w:t>
            </w:r>
          </w:p>
        </w:tc>
      </w:tr>
      <w:tr w14:paraId="76E12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62" w:type="dxa"/>
            <w:vMerge w:val="restart"/>
            <w:noWrap/>
            <w:tcMar>
              <w:top w:w="0" w:type="dxa"/>
              <w:left w:w="108" w:type="dxa"/>
              <w:bottom w:w="0" w:type="dxa"/>
              <w:right w:w="108" w:type="dxa"/>
            </w:tcMar>
            <w:vAlign w:val="center"/>
          </w:tcPr>
          <w:p w14:paraId="2BAE3613">
            <w:pPr>
              <w:jc w:val="center"/>
              <w:rPr>
                <w:rFonts w:asciiTheme="minorEastAsia" w:hAnsiTheme="minorEastAsia" w:eastAsiaTheme="minorEastAsia"/>
                <w:sz w:val="22"/>
                <w:szCs w:val="22"/>
              </w:rPr>
            </w:pPr>
            <w:r>
              <w:rPr>
                <w:rFonts w:hint="eastAsia" w:asciiTheme="minorEastAsia" w:hAnsiTheme="minorEastAsia" w:eastAsiaTheme="minorEastAsia"/>
                <w:sz w:val="22"/>
                <w:szCs w:val="22"/>
              </w:rPr>
              <w:t>5</w:t>
            </w:r>
          </w:p>
        </w:tc>
        <w:tc>
          <w:tcPr>
            <w:tcW w:w="7467" w:type="dxa"/>
            <w:gridSpan w:val="2"/>
            <w:noWrap/>
            <w:tcMar>
              <w:top w:w="0" w:type="dxa"/>
              <w:left w:w="108" w:type="dxa"/>
              <w:bottom w:w="0" w:type="dxa"/>
              <w:right w:w="108" w:type="dxa"/>
            </w:tcMar>
            <w:vAlign w:val="center"/>
          </w:tcPr>
          <w:p w14:paraId="555D49B2">
            <w:pPr>
              <w:rPr>
                <w:rFonts w:asciiTheme="minorEastAsia" w:hAnsiTheme="minorEastAsia" w:eastAsiaTheme="minorEastAsia"/>
                <w:sz w:val="22"/>
                <w:szCs w:val="22"/>
              </w:rPr>
            </w:pPr>
            <w:r>
              <w:rPr>
                <w:rFonts w:hint="eastAsia" w:asciiTheme="minorEastAsia" w:hAnsiTheme="minorEastAsia" w:eastAsiaTheme="minorEastAsia"/>
                <w:sz w:val="22"/>
                <w:szCs w:val="22"/>
              </w:rPr>
              <w:t>COS技术要求：本项目中使用的芯片型号对应的COS（卡内操作系统）必须能通过相关应用检测。</w:t>
            </w:r>
          </w:p>
        </w:tc>
      </w:tr>
      <w:tr w14:paraId="34B37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62" w:type="dxa"/>
            <w:vMerge w:val="continue"/>
            <w:vAlign w:val="center"/>
          </w:tcPr>
          <w:p w14:paraId="369C5655">
            <w:pPr>
              <w:widowControl/>
              <w:jc w:val="left"/>
              <w:rPr>
                <w:rFonts w:asciiTheme="minorEastAsia" w:hAnsiTheme="minorEastAsia" w:eastAsiaTheme="minorEastAsia"/>
                <w:sz w:val="22"/>
                <w:szCs w:val="22"/>
              </w:rPr>
            </w:pPr>
          </w:p>
        </w:tc>
        <w:tc>
          <w:tcPr>
            <w:tcW w:w="7467" w:type="dxa"/>
            <w:gridSpan w:val="2"/>
            <w:noWrap/>
            <w:tcMar>
              <w:top w:w="0" w:type="dxa"/>
              <w:left w:w="108" w:type="dxa"/>
              <w:bottom w:w="0" w:type="dxa"/>
              <w:right w:w="108" w:type="dxa"/>
            </w:tcMar>
            <w:vAlign w:val="center"/>
          </w:tcPr>
          <w:p w14:paraId="26A8CC54">
            <w:pPr>
              <w:rPr>
                <w:rFonts w:asciiTheme="minorEastAsia" w:hAnsiTheme="minorEastAsia" w:eastAsiaTheme="minorEastAsia"/>
                <w:sz w:val="22"/>
                <w:szCs w:val="22"/>
              </w:rPr>
            </w:pPr>
            <w:r>
              <w:rPr>
                <w:rFonts w:hint="eastAsia" w:asciiTheme="minorEastAsia" w:hAnsiTheme="minorEastAsia" w:eastAsiaTheme="minorEastAsia"/>
                <w:sz w:val="22"/>
                <w:szCs w:val="22"/>
              </w:rPr>
              <w:t>COS拥有自主知识产权，支持多安全域管理，支持多应用。</w:t>
            </w:r>
          </w:p>
        </w:tc>
      </w:tr>
      <w:tr w14:paraId="0AD92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62" w:type="dxa"/>
            <w:vMerge w:val="continue"/>
            <w:vAlign w:val="center"/>
          </w:tcPr>
          <w:p w14:paraId="4432BDE7">
            <w:pPr>
              <w:widowControl/>
              <w:jc w:val="left"/>
              <w:rPr>
                <w:rFonts w:asciiTheme="minorEastAsia" w:hAnsiTheme="minorEastAsia" w:eastAsiaTheme="minorEastAsia"/>
                <w:sz w:val="22"/>
                <w:szCs w:val="22"/>
              </w:rPr>
            </w:pPr>
          </w:p>
        </w:tc>
        <w:tc>
          <w:tcPr>
            <w:tcW w:w="7467" w:type="dxa"/>
            <w:gridSpan w:val="2"/>
            <w:noWrap/>
            <w:tcMar>
              <w:top w:w="0" w:type="dxa"/>
              <w:left w:w="108" w:type="dxa"/>
              <w:bottom w:w="0" w:type="dxa"/>
              <w:right w:w="108" w:type="dxa"/>
            </w:tcMar>
            <w:vAlign w:val="center"/>
          </w:tcPr>
          <w:p w14:paraId="69AC1CC9">
            <w:pPr>
              <w:rPr>
                <w:rFonts w:asciiTheme="minorEastAsia" w:hAnsiTheme="minorEastAsia" w:eastAsiaTheme="minorEastAsia"/>
                <w:sz w:val="22"/>
                <w:szCs w:val="22"/>
              </w:rPr>
            </w:pPr>
            <w:r>
              <w:rPr>
                <w:rFonts w:hint="eastAsia" w:asciiTheme="minorEastAsia" w:hAnsiTheme="minorEastAsia" w:eastAsiaTheme="minorEastAsia"/>
                <w:sz w:val="22"/>
                <w:szCs w:val="22"/>
              </w:rPr>
              <w:t>COS能够通过我行的相关应用检测或银行卡检测中心等相关检测机构检测，且检测报告在有效期范围内</w:t>
            </w:r>
          </w:p>
        </w:tc>
      </w:tr>
      <w:tr w14:paraId="70FC8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62" w:type="dxa"/>
            <w:vMerge w:val="continue"/>
            <w:vAlign w:val="center"/>
          </w:tcPr>
          <w:p w14:paraId="485392FD">
            <w:pPr>
              <w:widowControl/>
              <w:jc w:val="left"/>
              <w:rPr>
                <w:rFonts w:asciiTheme="minorEastAsia" w:hAnsiTheme="minorEastAsia" w:eastAsiaTheme="minorEastAsia"/>
                <w:sz w:val="22"/>
                <w:szCs w:val="22"/>
              </w:rPr>
            </w:pPr>
          </w:p>
        </w:tc>
        <w:tc>
          <w:tcPr>
            <w:tcW w:w="7467" w:type="dxa"/>
            <w:gridSpan w:val="2"/>
            <w:noWrap/>
            <w:tcMar>
              <w:top w:w="0" w:type="dxa"/>
              <w:left w:w="108" w:type="dxa"/>
              <w:bottom w:w="0" w:type="dxa"/>
              <w:right w:w="108" w:type="dxa"/>
            </w:tcMar>
            <w:vAlign w:val="center"/>
          </w:tcPr>
          <w:p w14:paraId="493AD4A4">
            <w:pPr>
              <w:rPr>
                <w:rFonts w:asciiTheme="minorEastAsia" w:hAnsiTheme="minorEastAsia" w:eastAsiaTheme="minorEastAsia"/>
                <w:sz w:val="22"/>
                <w:szCs w:val="22"/>
              </w:rPr>
            </w:pPr>
            <w:r>
              <w:rPr>
                <w:rFonts w:hint="eastAsia" w:asciiTheme="minorEastAsia" w:hAnsiTheme="minorEastAsia" w:eastAsiaTheme="minorEastAsia"/>
                <w:sz w:val="22"/>
                <w:szCs w:val="22"/>
              </w:rPr>
              <w:t xml:space="preserve">通过银行卡检测中心的安全检测 </w:t>
            </w:r>
          </w:p>
        </w:tc>
      </w:tr>
      <w:tr w14:paraId="02929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62" w:type="dxa"/>
            <w:vMerge w:val="restart"/>
            <w:noWrap/>
            <w:tcMar>
              <w:top w:w="0" w:type="dxa"/>
              <w:left w:w="108" w:type="dxa"/>
              <w:bottom w:w="0" w:type="dxa"/>
              <w:right w:w="108" w:type="dxa"/>
            </w:tcMar>
            <w:vAlign w:val="center"/>
          </w:tcPr>
          <w:p w14:paraId="6B29027B">
            <w:pPr>
              <w:jc w:val="center"/>
              <w:rPr>
                <w:rFonts w:asciiTheme="minorEastAsia" w:hAnsiTheme="minorEastAsia" w:eastAsiaTheme="minorEastAsia"/>
                <w:sz w:val="22"/>
                <w:szCs w:val="22"/>
              </w:rPr>
            </w:pPr>
            <w:r>
              <w:rPr>
                <w:rFonts w:hint="eastAsia" w:asciiTheme="minorEastAsia" w:hAnsiTheme="minorEastAsia" w:eastAsiaTheme="minorEastAsia"/>
                <w:sz w:val="22"/>
                <w:szCs w:val="22"/>
              </w:rPr>
              <w:t>6</w:t>
            </w:r>
          </w:p>
        </w:tc>
        <w:tc>
          <w:tcPr>
            <w:tcW w:w="7467" w:type="dxa"/>
            <w:gridSpan w:val="2"/>
            <w:noWrap/>
            <w:tcMar>
              <w:top w:w="0" w:type="dxa"/>
              <w:left w:w="108" w:type="dxa"/>
              <w:bottom w:w="0" w:type="dxa"/>
              <w:right w:w="108" w:type="dxa"/>
            </w:tcMar>
            <w:vAlign w:val="center"/>
          </w:tcPr>
          <w:p w14:paraId="1F510752">
            <w:pPr>
              <w:rPr>
                <w:rFonts w:asciiTheme="minorEastAsia" w:hAnsiTheme="minorEastAsia" w:eastAsiaTheme="minorEastAsia"/>
                <w:sz w:val="22"/>
                <w:szCs w:val="22"/>
              </w:rPr>
            </w:pPr>
            <w:r>
              <w:rPr>
                <w:rFonts w:hint="eastAsia" w:asciiTheme="minorEastAsia" w:hAnsiTheme="minorEastAsia" w:eastAsiaTheme="minorEastAsia"/>
                <w:sz w:val="22"/>
                <w:szCs w:val="22"/>
              </w:rPr>
              <w:t>卡片印刷质量</w:t>
            </w:r>
          </w:p>
        </w:tc>
      </w:tr>
      <w:tr w14:paraId="39EDB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62" w:type="dxa"/>
            <w:vMerge w:val="continue"/>
            <w:vAlign w:val="center"/>
          </w:tcPr>
          <w:p w14:paraId="4CE3CEF5">
            <w:pPr>
              <w:widowControl/>
              <w:jc w:val="left"/>
              <w:rPr>
                <w:rFonts w:asciiTheme="minorEastAsia" w:hAnsiTheme="minorEastAsia" w:eastAsiaTheme="minorEastAsia"/>
                <w:sz w:val="22"/>
                <w:szCs w:val="22"/>
              </w:rPr>
            </w:pPr>
          </w:p>
        </w:tc>
        <w:tc>
          <w:tcPr>
            <w:tcW w:w="2332" w:type="dxa"/>
            <w:noWrap/>
            <w:tcMar>
              <w:top w:w="0" w:type="dxa"/>
              <w:left w:w="108" w:type="dxa"/>
              <w:bottom w:w="0" w:type="dxa"/>
              <w:right w:w="108" w:type="dxa"/>
            </w:tcMar>
            <w:vAlign w:val="center"/>
          </w:tcPr>
          <w:p w14:paraId="5A876F16">
            <w:pPr>
              <w:rPr>
                <w:rFonts w:asciiTheme="minorEastAsia" w:hAnsiTheme="minorEastAsia" w:eastAsiaTheme="minorEastAsia"/>
                <w:sz w:val="22"/>
                <w:szCs w:val="22"/>
              </w:rPr>
            </w:pPr>
            <w:r>
              <w:rPr>
                <w:rFonts w:hint="eastAsia" w:asciiTheme="minorEastAsia" w:hAnsiTheme="minorEastAsia" w:eastAsiaTheme="minorEastAsia"/>
                <w:sz w:val="22"/>
                <w:szCs w:val="22"/>
              </w:rPr>
              <w:t>卡体要求</w:t>
            </w:r>
          </w:p>
        </w:tc>
        <w:tc>
          <w:tcPr>
            <w:tcW w:w="5135" w:type="dxa"/>
            <w:noWrap/>
            <w:tcMar>
              <w:top w:w="0" w:type="dxa"/>
              <w:left w:w="108" w:type="dxa"/>
              <w:bottom w:w="0" w:type="dxa"/>
              <w:right w:w="108" w:type="dxa"/>
            </w:tcMar>
          </w:tcPr>
          <w:p w14:paraId="18BD86EC">
            <w:pPr>
              <w:rPr>
                <w:rFonts w:asciiTheme="minorEastAsia" w:hAnsiTheme="minorEastAsia" w:eastAsiaTheme="minorEastAsia"/>
                <w:sz w:val="22"/>
                <w:szCs w:val="22"/>
              </w:rPr>
            </w:pPr>
            <w:r>
              <w:rPr>
                <w:rFonts w:hint="eastAsia" w:asciiTheme="minorEastAsia" w:hAnsiTheme="minorEastAsia" w:eastAsiaTheme="minorEastAsia"/>
                <w:sz w:val="22"/>
                <w:szCs w:val="22"/>
              </w:rPr>
              <w:t>卡体图案按客户要求设计的图案进行印刷，卡体印刷图案、文字清晰、不缺笔短划、无白点、墨皮、暗淡堆糊</w:t>
            </w:r>
          </w:p>
        </w:tc>
      </w:tr>
      <w:tr w14:paraId="4A606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62" w:type="dxa"/>
            <w:vMerge w:val="continue"/>
            <w:vAlign w:val="center"/>
          </w:tcPr>
          <w:p w14:paraId="706E708E">
            <w:pPr>
              <w:widowControl/>
              <w:jc w:val="left"/>
              <w:rPr>
                <w:rFonts w:asciiTheme="minorEastAsia" w:hAnsiTheme="minorEastAsia" w:eastAsiaTheme="minorEastAsia"/>
                <w:sz w:val="22"/>
                <w:szCs w:val="22"/>
              </w:rPr>
            </w:pPr>
          </w:p>
        </w:tc>
        <w:tc>
          <w:tcPr>
            <w:tcW w:w="2332" w:type="dxa"/>
            <w:noWrap/>
            <w:tcMar>
              <w:top w:w="0" w:type="dxa"/>
              <w:left w:w="108" w:type="dxa"/>
              <w:bottom w:w="0" w:type="dxa"/>
              <w:right w:w="108" w:type="dxa"/>
            </w:tcMar>
            <w:vAlign w:val="center"/>
          </w:tcPr>
          <w:p w14:paraId="57E0E5E1">
            <w:pPr>
              <w:rPr>
                <w:rFonts w:asciiTheme="minorEastAsia" w:hAnsiTheme="minorEastAsia" w:eastAsiaTheme="minorEastAsia"/>
                <w:sz w:val="22"/>
                <w:szCs w:val="22"/>
              </w:rPr>
            </w:pPr>
            <w:r>
              <w:rPr>
                <w:rFonts w:hint="eastAsia" w:asciiTheme="minorEastAsia" w:hAnsiTheme="minorEastAsia" w:eastAsiaTheme="minorEastAsia"/>
                <w:sz w:val="22"/>
                <w:szCs w:val="22"/>
              </w:rPr>
              <w:t>网点分辨率</w:t>
            </w:r>
          </w:p>
        </w:tc>
        <w:tc>
          <w:tcPr>
            <w:tcW w:w="5135" w:type="dxa"/>
            <w:noWrap/>
            <w:tcMar>
              <w:top w:w="0" w:type="dxa"/>
              <w:left w:w="108" w:type="dxa"/>
              <w:bottom w:w="0" w:type="dxa"/>
              <w:right w:w="108" w:type="dxa"/>
            </w:tcMar>
          </w:tcPr>
          <w:p w14:paraId="69DFD0F6">
            <w:pPr>
              <w:rPr>
                <w:rFonts w:asciiTheme="minorEastAsia" w:hAnsiTheme="minorEastAsia" w:eastAsiaTheme="minorEastAsia"/>
                <w:sz w:val="22"/>
                <w:szCs w:val="22"/>
              </w:rPr>
            </w:pPr>
            <w:r>
              <w:rPr>
                <w:rFonts w:hint="eastAsia" w:asciiTheme="minorEastAsia" w:hAnsiTheme="minorEastAsia" w:eastAsiaTheme="minorEastAsia"/>
                <w:sz w:val="22"/>
                <w:szCs w:val="22"/>
              </w:rPr>
              <w:t>≥175线/英寸（根据不同版面确定采用175线或200线）</w:t>
            </w:r>
          </w:p>
        </w:tc>
      </w:tr>
      <w:tr w14:paraId="55B1F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62" w:type="dxa"/>
            <w:vMerge w:val="continue"/>
            <w:vAlign w:val="center"/>
          </w:tcPr>
          <w:p w14:paraId="6E670215">
            <w:pPr>
              <w:widowControl/>
              <w:jc w:val="left"/>
              <w:rPr>
                <w:rFonts w:asciiTheme="minorEastAsia" w:hAnsiTheme="minorEastAsia" w:eastAsiaTheme="minorEastAsia"/>
                <w:sz w:val="22"/>
                <w:szCs w:val="22"/>
              </w:rPr>
            </w:pPr>
          </w:p>
        </w:tc>
        <w:tc>
          <w:tcPr>
            <w:tcW w:w="2332" w:type="dxa"/>
            <w:noWrap/>
            <w:tcMar>
              <w:top w:w="0" w:type="dxa"/>
              <w:left w:w="108" w:type="dxa"/>
              <w:bottom w:w="0" w:type="dxa"/>
              <w:right w:w="108" w:type="dxa"/>
            </w:tcMar>
            <w:vAlign w:val="center"/>
          </w:tcPr>
          <w:p w14:paraId="00C7CF6D">
            <w:pPr>
              <w:rPr>
                <w:rFonts w:asciiTheme="minorEastAsia" w:hAnsiTheme="minorEastAsia" w:eastAsiaTheme="minorEastAsia"/>
                <w:sz w:val="22"/>
                <w:szCs w:val="22"/>
              </w:rPr>
            </w:pPr>
            <w:r>
              <w:rPr>
                <w:rFonts w:hint="eastAsia" w:asciiTheme="minorEastAsia" w:hAnsiTheme="minorEastAsia" w:eastAsiaTheme="minorEastAsia"/>
                <w:sz w:val="22"/>
                <w:szCs w:val="22"/>
              </w:rPr>
              <w:t>准误差</w:t>
            </w:r>
          </w:p>
        </w:tc>
        <w:tc>
          <w:tcPr>
            <w:tcW w:w="5135" w:type="dxa"/>
            <w:noWrap/>
            <w:tcMar>
              <w:top w:w="0" w:type="dxa"/>
              <w:left w:w="108" w:type="dxa"/>
              <w:bottom w:w="0" w:type="dxa"/>
              <w:right w:w="108" w:type="dxa"/>
            </w:tcMar>
          </w:tcPr>
          <w:p w14:paraId="0C6D3C60">
            <w:pPr>
              <w:rPr>
                <w:rFonts w:asciiTheme="minorEastAsia" w:hAnsiTheme="minorEastAsia" w:eastAsiaTheme="minorEastAsia"/>
                <w:sz w:val="22"/>
                <w:szCs w:val="22"/>
              </w:rPr>
            </w:pPr>
            <w:r>
              <w:rPr>
                <w:rFonts w:hint="eastAsia" w:asciiTheme="minorEastAsia" w:hAnsiTheme="minorEastAsia" w:eastAsiaTheme="minorEastAsia"/>
                <w:sz w:val="22"/>
                <w:szCs w:val="22"/>
              </w:rPr>
              <w:t>＜0.06</w:t>
            </w:r>
            <w:r>
              <w:rPr>
                <w:rFonts w:hint="eastAsia" w:cs="微软雅黑" w:asciiTheme="minorEastAsia" w:hAnsiTheme="minorEastAsia" w:eastAsiaTheme="minorEastAsia"/>
                <w:sz w:val="22"/>
                <w:szCs w:val="22"/>
              </w:rPr>
              <w:t>㎜</w:t>
            </w:r>
            <w:r>
              <w:rPr>
                <w:rFonts w:hint="eastAsia" w:cs="仿宋_GB2312" w:asciiTheme="minorEastAsia" w:hAnsiTheme="minorEastAsia" w:eastAsiaTheme="minorEastAsia"/>
                <w:sz w:val="22"/>
                <w:szCs w:val="22"/>
              </w:rPr>
              <w:t>，正、反面印刷套印准确</w:t>
            </w:r>
          </w:p>
        </w:tc>
      </w:tr>
      <w:tr w14:paraId="5182D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62" w:type="dxa"/>
            <w:vMerge w:val="continue"/>
            <w:vAlign w:val="center"/>
          </w:tcPr>
          <w:p w14:paraId="273971DC">
            <w:pPr>
              <w:widowControl/>
              <w:jc w:val="left"/>
              <w:rPr>
                <w:rFonts w:asciiTheme="minorEastAsia" w:hAnsiTheme="minorEastAsia" w:eastAsiaTheme="minorEastAsia"/>
                <w:sz w:val="22"/>
                <w:szCs w:val="22"/>
              </w:rPr>
            </w:pPr>
          </w:p>
        </w:tc>
        <w:tc>
          <w:tcPr>
            <w:tcW w:w="2332" w:type="dxa"/>
            <w:noWrap/>
            <w:tcMar>
              <w:top w:w="0" w:type="dxa"/>
              <w:left w:w="108" w:type="dxa"/>
              <w:bottom w:w="0" w:type="dxa"/>
              <w:right w:w="108" w:type="dxa"/>
            </w:tcMar>
            <w:vAlign w:val="center"/>
          </w:tcPr>
          <w:p w14:paraId="61D1BCF7">
            <w:pPr>
              <w:rPr>
                <w:rFonts w:asciiTheme="minorEastAsia" w:hAnsiTheme="minorEastAsia" w:eastAsiaTheme="minorEastAsia"/>
                <w:sz w:val="22"/>
                <w:szCs w:val="22"/>
              </w:rPr>
            </w:pPr>
            <w:r>
              <w:rPr>
                <w:rFonts w:hint="eastAsia" w:asciiTheme="minorEastAsia" w:hAnsiTheme="minorEastAsia" w:eastAsiaTheme="minorEastAsia"/>
                <w:sz w:val="22"/>
                <w:szCs w:val="22"/>
              </w:rPr>
              <w:t>光洁</w:t>
            </w:r>
          </w:p>
        </w:tc>
        <w:tc>
          <w:tcPr>
            <w:tcW w:w="5135" w:type="dxa"/>
            <w:noWrap/>
            <w:tcMar>
              <w:top w:w="0" w:type="dxa"/>
              <w:left w:w="108" w:type="dxa"/>
              <w:bottom w:w="0" w:type="dxa"/>
              <w:right w:w="108" w:type="dxa"/>
            </w:tcMar>
          </w:tcPr>
          <w:p w14:paraId="464B4AD6">
            <w:pPr>
              <w:rPr>
                <w:rFonts w:asciiTheme="minorEastAsia" w:hAnsiTheme="minorEastAsia" w:eastAsiaTheme="minorEastAsia"/>
                <w:sz w:val="22"/>
                <w:szCs w:val="22"/>
              </w:rPr>
            </w:pPr>
            <w:r>
              <w:rPr>
                <w:rFonts w:hint="eastAsia" w:asciiTheme="minorEastAsia" w:hAnsiTheme="minorEastAsia" w:eastAsiaTheme="minorEastAsia"/>
                <w:sz w:val="22"/>
                <w:szCs w:val="22"/>
              </w:rPr>
              <w:t>无气泡、凹凸点及脏污</w:t>
            </w:r>
          </w:p>
        </w:tc>
      </w:tr>
      <w:tr w14:paraId="0810B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62" w:type="dxa"/>
            <w:vMerge w:val="continue"/>
            <w:vAlign w:val="center"/>
          </w:tcPr>
          <w:p w14:paraId="2496A1F7">
            <w:pPr>
              <w:widowControl/>
              <w:jc w:val="left"/>
              <w:rPr>
                <w:rFonts w:asciiTheme="minorEastAsia" w:hAnsiTheme="minorEastAsia" w:eastAsiaTheme="minorEastAsia"/>
                <w:sz w:val="22"/>
                <w:szCs w:val="22"/>
              </w:rPr>
            </w:pPr>
          </w:p>
        </w:tc>
        <w:tc>
          <w:tcPr>
            <w:tcW w:w="2332" w:type="dxa"/>
            <w:noWrap/>
            <w:tcMar>
              <w:top w:w="0" w:type="dxa"/>
              <w:left w:w="108" w:type="dxa"/>
              <w:bottom w:w="0" w:type="dxa"/>
              <w:right w:w="108" w:type="dxa"/>
            </w:tcMar>
            <w:vAlign w:val="center"/>
          </w:tcPr>
          <w:p w14:paraId="41D0357B">
            <w:pPr>
              <w:rPr>
                <w:rFonts w:asciiTheme="minorEastAsia" w:hAnsiTheme="minorEastAsia" w:eastAsiaTheme="minorEastAsia"/>
                <w:sz w:val="22"/>
                <w:szCs w:val="22"/>
              </w:rPr>
            </w:pPr>
            <w:r>
              <w:rPr>
                <w:rFonts w:hint="eastAsia" w:asciiTheme="minorEastAsia" w:hAnsiTheme="minorEastAsia" w:eastAsiaTheme="minorEastAsia"/>
                <w:sz w:val="22"/>
                <w:szCs w:val="22"/>
              </w:rPr>
              <w:t>点</w:t>
            </w:r>
          </w:p>
        </w:tc>
        <w:tc>
          <w:tcPr>
            <w:tcW w:w="5135" w:type="dxa"/>
            <w:noWrap/>
            <w:tcMar>
              <w:top w:w="0" w:type="dxa"/>
              <w:left w:w="108" w:type="dxa"/>
              <w:bottom w:w="0" w:type="dxa"/>
              <w:right w:w="108" w:type="dxa"/>
            </w:tcMar>
          </w:tcPr>
          <w:p w14:paraId="6BA084BA">
            <w:pPr>
              <w:rPr>
                <w:rFonts w:asciiTheme="minorEastAsia" w:hAnsiTheme="minorEastAsia" w:eastAsiaTheme="minorEastAsia"/>
                <w:sz w:val="22"/>
                <w:szCs w:val="22"/>
              </w:rPr>
            </w:pPr>
            <w:r>
              <w:rPr>
                <w:rFonts w:hint="eastAsia" w:asciiTheme="minorEastAsia" w:hAnsiTheme="minorEastAsia" w:eastAsiaTheme="minorEastAsia"/>
                <w:sz w:val="22"/>
                <w:szCs w:val="22"/>
              </w:rPr>
              <w:t>直径＜0.2</w:t>
            </w:r>
            <w:r>
              <w:rPr>
                <w:rFonts w:hint="eastAsia" w:cs="微软雅黑" w:asciiTheme="minorEastAsia" w:hAnsiTheme="minorEastAsia" w:eastAsiaTheme="minorEastAsia"/>
                <w:sz w:val="22"/>
                <w:szCs w:val="22"/>
              </w:rPr>
              <w:t>㎜</w:t>
            </w:r>
            <w:r>
              <w:rPr>
                <w:rFonts w:hint="eastAsia" w:cs="仿宋_GB2312" w:asciiTheme="minorEastAsia" w:hAnsiTheme="minorEastAsia" w:eastAsiaTheme="minorEastAsia"/>
                <w:sz w:val="22"/>
                <w:szCs w:val="22"/>
              </w:rPr>
              <w:t>的不明显黑点：正面不超过</w:t>
            </w:r>
            <w:r>
              <w:rPr>
                <w:rFonts w:hint="eastAsia" w:asciiTheme="minorEastAsia" w:hAnsiTheme="minorEastAsia" w:eastAsiaTheme="minorEastAsia"/>
                <w:sz w:val="22"/>
                <w:szCs w:val="22"/>
              </w:rPr>
              <w:t>1个；反面不超过2个</w:t>
            </w:r>
          </w:p>
        </w:tc>
      </w:tr>
      <w:tr w14:paraId="52159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62" w:type="dxa"/>
            <w:vMerge w:val="continue"/>
            <w:vAlign w:val="center"/>
          </w:tcPr>
          <w:p w14:paraId="03C7FC3C">
            <w:pPr>
              <w:widowControl/>
              <w:jc w:val="left"/>
              <w:rPr>
                <w:rFonts w:asciiTheme="minorEastAsia" w:hAnsiTheme="minorEastAsia" w:eastAsiaTheme="minorEastAsia"/>
                <w:sz w:val="22"/>
                <w:szCs w:val="22"/>
              </w:rPr>
            </w:pPr>
          </w:p>
        </w:tc>
        <w:tc>
          <w:tcPr>
            <w:tcW w:w="2332" w:type="dxa"/>
            <w:noWrap/>
            <w:tcMar>
              <w:top w:w="0" w:type="dxa"/>
              <w:left w:w="108" w:type="dxa"/>
              <w:bottom w:w="0" w:type="dxa"/>
              <w:right w:w="108" w:type="dxa"/>
            </w:tcMar>
            <w:vAlign w:val="center"/>
          </w:tcPr>
          <w:p w14:paraId="2A244DFC">
            <w:pPr>
              <w:rPr>
                <w:rFonts w:asciiTheme="minorEastAsia" w:hAnsiTheme="minorEastAsia" w:eastAsiaTheme="minorEastAsia"/>
                <w:sz w:val="22"/>
                <w:szCs w:val="22"/>
              </w:rPr>
            </w:pPr>
            <w:r>
              <w:rPr>
                <w:rFonts w:hint="eastAsia" w:asciiTheme="minorEastAsia" w:hAnsiTheme="minorEastAsia" w:eastAsiaTheme="minorEastAsia"/>
                <w:sz w:val="22"/>
                <w:szCs w:val="22"/>
              </w:rPr>
              <w:t>物</w:t>
            </w:r>
          </w:p>
        </w:tc>
        <w:tc>
          <w:tcPr>
            <w:tcW w:w="5135" w:type="dxa"/>
            <w:noWrap/>
            <w:tcMar>
              <w:top w:w="0" w:type="dxa"/>
              <w:left w:w="108" w:type="dxa"/>
              <w:bottom w:w="0" w:type="dxa"/>
              <w:right w:w="108" w:type="dxa"/>
            </w:tcMar>
            <w:vAlign w:val="center"/>
          </w:tcPr>
          <w:p w14:paraId="4DD07B43">
            <w:pPr>
              <w:rPr>
                <w:rFonts w:asciiTheme="minorEastAsia" w:hAnsiTheme="minorEastAsia" w:eastAsiaTheme="minorEastAsia"/>
                <w:sz w:val="22"/>
                <w:szCs w:val="22"/>
              </w:rPr>
            </w:pPr>
            <w:r>
              <w:rPr>
                <w:rFonts w:hint="eastAsia" w:asciiTheme="minorEastAsia" w:hAnsiTheme="minorEastAsia" w:eastAsiaTheme="minorEastAsia"/>
                <w:sz w:val="22"/>
                <w:szCs w:val="22"/>
              </w:rPr>
              <w:t>长度＜0.5</w:t>
            </w:r>
            <w:r>
              <w:rPr>
                <w:rFonts w:hint="eastAsia" w:cs="微软雅黑" w:asciiTheme="minorEastAsia" w:hAnsiTheme="minorEastAsia" w:eastAsiaTheme="minorEastAsia"/>
                <w:sz w:val="22"/>
                <w:szCs w:val="22"/>
              </w:rPr>
              <w:t>㎜</w:t>
            </w:r>
            <w:r>
              <w:rPr>
                <w:rFonts w:hint="eastAsia" w:cs="仿宋_GB2312" w:asciiTheme="minorEastAsia" w:hAnsiTheme="minorEastAsia" w:eastAsiaTheme="minorEastAsia"/>
                <w:sz w:val="22"/>
                <w:szCs w:val="22"/>
              </w:rPr>
              <w:t>的细小杂质纤维：正面不超过</w:t>
            </w:r>
            <w:r>
              <w:rPr>
                <w:rFonts w:hint="eastAsia" w:asciiTheme="minorEastAsia" w:hAnsiTheme="minorEastAsia" w:eastAsiaTheme="minorEastAsia"/>
                <w:sz w:val="22"/>
                <w:szCs w:val="22"/>
              </w:rPr>
              <w:t>1个；反面不超过2个</w:t>
            </w:r>
          </w:p>
        </w:tc>
      </w:tr>
      <w:tr w14:paraId="0F974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62" w:type="dxa"/>
            <w:vMerge w:val="continue"/>
            <w:vAlign w:val="center"/>
          </w:tcPr>
          <w:p w14:paraId="20ECFB30">
            <w:pPr>
              <w:widowControl/>
              <w:jc w:val="left"/>
              <w:rPr>
                <w:rFonts w:asciiTheme="minorEastAsia" w:hAnsiTheme="minorEastAsia" w:eastAsiaTheme="minorEastAsia"/>
                <w:sz w:val="22"/>
                <w:szCs w:val="22"/>
              </w:rPr>
            </w:pPr>
          </w:p>
        </w:tc>
        <w:tc>
          <w:tcPr>
            <w:tcW w:w="2332" w:type="dxa"/>
            <w:noWrap/>
            <w:tcMar>
              <w:top w:w="0" w:type="dxa"/>
              <w:left w:w="108" w:type="dxa"/>
              <w:bottom w:w="0" w:type="dxa"/>
              <w:right w:w="108" w:type="dxa"/>
            </w:tcMar>
            <w:vAlign w:val="center"/>
          </w:tcPr>
          <w:p w14:paraId="3E6D1A22">
            <w:pPr>
              <w:rPr>
                <w:rFonts w:asciiTheme="minorEastAsia" w:hAnsiTheme="minorEastAsia" w:eastAsiaTheme="minorEastAsia"/>
                <w:sz w:val="22"/>
                <w:szCs w:val="22"/>
              </w:rPr>
            </w:pPr>
            <w:r>
              <w:rPr>
                <w:rFonts w:hint="eastAsia" w:asciiTheme="minorEastAsia" w:hAnsiTheme="minorEastAsia" w:eastAsiaTheme="minorEastAsia"/>
                <w:sz w:val="22"/>
                <w:szCs w:val="22"/>
              </w:rPr>
              <w:t>斑</w:t>
            </w:r>
          </w:p>
        </w:tc>
        <w:tc>
          <w:tcPr>
            <w:tcW w:w="5135" w:type="dxa"/>
            <w:noWrap/>
            <w:tcMar>
              <w:top w:w="0" w:type="dxa"/>
              <w:left w:w="108" w:type="dxa"/>
              <w:bottom w:w="0" w:type="dxa"/>
              <w:right w:w="108" w:type="dxa"/>
            </w:tcMar>
            <w:vAlign w:val="center"/>
          </w:tcPr>
          <w:p w14:paraId="7A905EF1">
            <w:pPr>
              <w:rPr>
                <w:rFonts w:asciiTheme="minorEastAsia" w:hAnsiTheme="minorEastAsia" w:eastAsiaTheme="minorEastAsia"/>
                <w:sz w:val="22"/>
                <w:szCs w:val="22"/>
              </w:rPr>
            </w:pPr>
            <w:r>
              <w:rPr>
                <w:rFonts w:hint="eastAsia" w:asciiTheme="minorEastAsia" w:hAnsiTheme="minorEastAsia" w:eastAsiaTheme="minorEastAsia"/>
                <w:sz w:val="22"/>
                <w:szCs w:val="22"/>
              </w:rPr>
              <w:t>直径＜0.5</w:t>
            </w:r>
            <w:r>
              <w:rPr>
                <w:rFonts w:hint="eastAsia" w:cs="微软雅黑" w:asciiTheme="minorEastAsia" w:hAnsiTheme="minorEastAsia" w:eastAsiaTheme="minorEastAsia"/>
                <w:sz w:val="22"/>
                <w:szCs w:val="22"/>
              </w:rPr>
              <w:t>㎜</w:t>
            </w:r>
            <w:r>
              <w:rPr>
                <w:rFonts w:hint="eastAsia" w:cs="仿宋_GB2312" w:asciiTheme="minorEastAsia" w:hAnsiTheme="minorEastAsia" w:eastAsiaTheme="minorEastAsia"/>
                <w:sz w:val="22"/>
                <w:szCs w:val="22"/>
              </w:rPr>
              <w:t>杂色斑：正反面不允许</w:t>
            </w:r>
          </w:p>
        </w:tc>
      </w:tr>
      <w:tr w14:paraId="1CF46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62" w:type="dxa"/>
            <w:vMerge w:val="continue"/>
            <w:vAlign w:val="center"/>
          </w:tcPr>
          <w:p w14:paraId="39797000">
            <w:pPr>
              <w:widowControl/>
              <w:jc w:val="left"/>
              <w:rPr>
                <w:rFonts w:asciiTheme="minorEastAsia" w:hAnsiTheme="minorEastAsia" w:eastAsiaTheme="minorEastAsia"/>
                <w:sz w:val="22"/>
                <w:szCs w:val="22"/>
              </w:rPr>
            </w:pPr>
          </w:p>
        </w:tc>
        <w:tc>
          <w:tcPr>
            <w:tcW w:w="2332" w:type="dxa"/>
            <w:noWrap/>
            <w:tcMar>
              <w:top w:w="0" w:type="dxa"/>
              <w:left w:w="108" w:type="dxa"/>
              <w:bottom w:w="0" w:type="dxa"/>
              <w:right w:w="108" w:type="dxa"/>
            </w:tcMar>
            <w:vAlign w:val="center"/>
          </w:tcPr>
          <w:p w14:paraId="02CA8A5E">
            <w:pPr>
              <w:rPr>
                <w:rFonts w:asciiTheme="minorEastAsia" w:hAnsiTheme="minorEastAsia" w:eastAsiaTheme="minorEastAsia"/>
                <w:sz w:val="22"/>
                <w:szCs w:val="22"/>
              </w:rPr>
            </w:pPr>
            <w:r>
              <w:rPr>
                <w:rFonts w:hint="eastAsia" w:asciiTheme="minorEastAsia" w:hAnsiTheme="minorEastAsia" w:eastAsiaTheme="minorEastAsia"/>
                <w:sz w:val="22"/>
                <w:szCs w:val="22"/>
              </w:rPr>
              <w:t>划痕</w:t>
            </w:r>
          </w:p>
        </w:tc>
        <w:tc>
          <w:tcPr>
            <w:tcW w:w="5135" w:type="dxa"/>
            <w:noWrap/>
            <w:tcMar>
              <w:top w:w="0" w:type="dxa"/>
              <w:left w:w="108" w:type="dxa"/>
              <w:bottom w:w="0" w:type="dxa"/>
              <w:right w:w="108" w:type="dxa"/>
            </w:tcMar>
            <w:vAlign w:val="center"/>
          </w:tcPr>
          <w:p w14:paraId="2F2AEDE0">
            <w:pPr>
              <w:rPr>
                <w:rFonts w:asciiTheme="minorEastAsia" w:hAnsiTheme="minorEastAsia" w:eastAsiaTheme="minorEastAsia"/>
                <w:sz w:val="22"/>
                <w:szCs w:val="22"/>
              </w:rPr>
            </w:pPr>
            <w:r>
              <w:rPr>
                <w:rFonts w:hint="eastAsia" w:asciiTheme="minorEastAsia" w:hAnsiTheme="minorEastAsia" w:eastAsiaTheme="minorEastAsia"/>
                <w:sz w:val="22"/>
                <w:szCs w:val="22"/>
              </w:rPr>
              <w:t>长度＜5</w:t>
            </w:r>
            <w:r>
              <w:rPr>
                <w:rFonts w:hint="eastAsia" w:cs="微软雅黑" w:asciiTheme="minorEastAsia" w:hAnsiTheme="minorEastAsia" w:eastAsiaTheme="minorEastAsia"/>
                <w:sz w:val="22"/>
                <w:szCs w:val="22"/>
              </w:rPr>
              <w:t>㎜</w:t>
            </w:r>
            <w:r>
              <w:rPr>
                <w:rFonts w:hint="eastAsia" w:cs="仿宋_GB2312" w:asciiTheme="minorEastAsia" w:hAnsiTheme="minorEastAsia" w:eastAsiaTheme="minorEastAsia"/>
                <w:sz w:val="22"/>
                <w:szCs w:val="22"/>
              </w:rPr>
              <w:t>的细划痕：不超过</w:t>
            </w:r>
            <w:r>
              <w:rPr>
                <w:rFonts w:hint="eastAsia" w:asciiTheme="minorEastAsia" w:hAnsiTheme="minorEastAsia" w:eastAsiaTheme="minorEastAsia"/>
                <w:sz w:val="22"/>
                <w:szCs w:val="22"/>
              </w:rPr>
              <w:t>2条</w:t>
            </w:r>
          </w:p>
        </w:tc>
      </w:tr>
      <w:tr w14:paraId="44619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62" w:type="dxa"/>
            <w:vMerge w:val="continue"/>
            <w:vAlign w:val="center"/>
          </w:tcPr>
          <w:p w14:paraId="671D2D38">
            <w:pPr>
              <w:widowControl/>
              <w:jc w:val="left"/>
              <w:rPr>
                <w:rFonts w:asciiTheme="minorEastAsia" w:hAnsiTheme="minorEastAsia" w:eastAsiaTheme="minorEastAsia"/>
                <w:sz w:val="22"/>
                <w:szCs w:val="22"/>
              </w:rPr>
            </w:pPr>
          </w:p>
        </w:tc>
        <w:tc>
          <w:tcPr>
            <w:tcW w:w="2332" w:type="dxa"/>
            <w:noWrap/>
            <w:tcMar>
              <w:top w:w="0" w:type="dxa"/>
              <w:left w:w="108" w:type="dxa"/>
              <w:bottom w:w="0" w:type="dxa"/>
              <w:right w:w="108" w:type="dxa"/>
            </w:tcMar>
            <w:vAlign w:val="center"/>
          </w:tcPr>
          <w:p w14:paraId="655CB41A">
            <w:pPr>
              <w:rPr>
                <w:rFonts w:asciiTheme="minorEastAsia" w:hAnsiTheme="minorEastAsia" w:eastAsiaTheme="minorEastAsia"/>
                <w:sz w:val="22"/>
                <w:szCs w:val="22"/>
              </w:rPr>
            </w:pPr>
            <w:r>
              <w:rPr>
                <w:rFonts w:hint="eastAsia" w:asciiTheme="minorEastAsia" w:hAnsiTheme="minorEastAsia" w:eastAsiaTheme="minorEastAsia"/>
                <w:sz w:val="22"/>
                <w:szCs w:val="22"/>
              </w:rPr>
              <w:t>色彩</w:t>
            </w:r>
          </w:p>
        </w:tc>
        <w:tc>
          <w:tcPr>
            <w:tcW w:w="5135" w:type="dxa"/>
            <w:noWrap/>
            <w:tcMar>
              <w:top w:w="0" w:type="dxa"/>
              <w:left w:w="108" w:type="dxa"/>
              <w:bottom w:w="0" w:type="dxa"/>
              <w:right w:w="108" w:type="dxa"/>
            </w:tcMar>
            <w:vAlign w:val="center"/>
          </w:tcPr>
          <w:p w14:paraId="307645D4">
            <w:pPr>
              <w:rPr>
                <w:rFonts w:asciiTheme="minorEastAsia" w:hAnsiTheme="minorEastAsia" w:eastAsiaTheme="minorEastAsia"/>
                <w:sz w:val="22"/>
                <w:szCs w:val="22"/>
              </w:rPr>
            </w:pPr>
            <w:r>
              <w:rPr>
                <w:rFonts w:hint="eastAsia" w:asciiTheme="minorEastAsia" w:hAnsiTheme="minorEastAsia" w:eastAsiaTheme="minorEastAsia"/>
                <w:sz w:val="22"/>
                <w:szCs w:val="22"/>
              </w:rPr>
              <w:t>卡片的图案和颜色应以设计原稿样卡为准，复制真实、自然，且同一产品不同批次生产的卡片，颜色一致。</w:t>
            </w:r>
          </w:p>
        </w:tc>
      </w:tr>
      <w:tr w14:paraId="77993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62" w:type="dxa"/>
            <w:vMerge w:val="continue"/>
            <w:vAlign w:val="center"/>
          </w:tcPr>
          <w:p w14:paraId="6FE6D5C9">
            <w:pPr>
              <w:widowControl/>
              <w:jc w:val="left"/>
              <w:rPr>
                <w:rFonts w:asciiTheme="minorEastAsia" w:hAnsiTheme="minorEastAsia" w:eastAsiaTheme="minorEastAsia"/>
                <w:sz w:val="22"/>
                <w:szCs w:val="22"/>
              </w:rPr>
            </w:pPr>
          </w:p>
        </w:tc>
        <w:tc>
          <w:tcPr>
            <w:tcW w:w="2332" w:type="dxa"/>
            <w:noWrap/>
            <w:tcMar>
              <w:top w:w="0" w:type="dxa"/>
              <w:left w:w="108" w:type="dxa"/>
              <w:bottom w:w="0" w:type="dxa"/>
              <w:right w:w="108" w:type="dxa"/>
            </w:tcMar>
            <w:vAlign w:val="center"/>
          </w:tcPr>
          <w:p w14:paraId="05A46181">
            <w:pPr>
              <w:rPr>
                <w:rFonts w:asciiTheme="minorEastAsia" w:hAnsiTheme="minorEastAsia" w:eastAsiaTheme="minorEastAsia"/>
                <w:sz w:val="22"/>
                <w:szCs w:val="22"/>
              </w:rPr>
            </w:pPr>
            <w:r>
              <w:rPr>
                <w:rFonts w:hint="eastAsia" w:asciiTheme="minorEastAsia" w:hAnsiTheme="minorEastAsia" w:eastAsiaTheme="minorEastAsia"/>
                <w:sz w:val="22"/>
                <w:szCs w:val="22"/>
              </w:rPr>
              <w:t>墨色分布</w:t>
            </w:r>
          </w:p>
        </w:tc>
        <w:tc>
          <w:tcPr>
            <w:tcW w:w="5135" w:type="dxa"/>
            <w:noWrap/>
            <w:tcMar>
              <w:top w:w="0" w:type="dxa"/>
              <w:left w:w="108" w:type="dxa"/>
              <w:bottom w:w="0" w:type="dxa"/>
              <w:right w:w="108" w:type="dxa"/>
            </w:tcMar>
            <w:vAlign w:val="center"/>
          </w:tcPr>
          <w:p w14:paraId="0E3D517B">
            <w:pPr>
              <w:rPr>
                <w:rFonts w:asciiTheme="minorEastAsia" w:hAnsiTheme="minorEastAsia" w:eastAsiaTheme="minorEastAsia"/>
                <w:sz w:val="22"/>
                <w:szCs w:val="22"/>
              </w:rPr>
            </w:pPr>
            <w:r>
              <w:rPr>
                <w:rFonts w:hint="eastAsia" w:asciiTheme="minorEastAsia" w:hAnsiTheme="minorEastAsia" w:eastAsiaTheme="minorEastAsia"/>
                <w:sz w:val="22"/>
                <w:szCs w:val="22"/>
              </w:rPr>
              <w:t>A.无整版墨色不平，整批颜色不均现象；</w:t>
            </w:r>
          </w:p>
          <w:p w14:paraId="616B9753">
            <w:pPr>
              <w:rPr>
                <w:rFonts w:asciiTheme="minorEastAsia" w:hAnsiTheme="minorEastAsia" w:eastAsiaTheme="minorEastAsia"/>
                <w:sz w:val="22"/>
                <w:szCs w:val="22"/>
              </w:rPr>
            </w:pPr>
            <w:r>
              <w:rPr>
                <w:rFonts w:hint="eastAsia" w:asciiTheme="minorEastAsia" w:hAnsiTheme="minorEastAsia" w:eastAsiaTheme="minorEastAsia"/>
                <w:sz w:val="22"/>
                <w:szCs w:val="22"/>
              </w:rPr>
              <w:t>B.无白杠、墨杠。</w:t>
            </w:r>
          </w:p>
        </w:tc>
      </w:tr>
      <w:tr w14:paraId="7206E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62" w:type="dxa"/>
            <w:vMerge w:val="continue"/>
            <w:vAlign w:val="center"/>
          </w:tcPr>
          <w:p w14:paraId="4C8B4F26">
            <w:pPr>
              <w:widowControl/>
              <w:jc w:val="left"/>
              <w:rPr>
                <w:rFonts w:asciiTheme="minorEastAsia" w:hAnsiTheme="minorEastAsia" w:eastAsiaTheme="minorEastAsia"/>
                <w:sz w:val="22"/>
                <w:szCs w:val="22"/>
              </w:rPr>
            </w:pPr>
          </w:p>
        </w:tc>
        <w:tc>
          <w:tcPr>
            <w:tcW w:w="2332" w:type="dxa"/>
            <w:noWrap/>
            <w:tcMar>
              <w:top w:w="0" w:type="dxa"/>
              <w:left w:w="108" w:type="dxa"/>
              <w:bottom w:w="0" w:type="dxa"/>
              <w:right w:w="108" w:type="dxa"/>
            </w:tcMar>
            <w:vAlign w:val="center"/>
          </w:tcPr>
          <w:p w14:paraId="176835A8">
            <w:pPr>
              <w:rPr>
                <w:rFonts w:asciiTheme="minorEastAsia" w:hAnsiTheme="minorEastAsia" w:eastAsiaTheme="minorEastAsia"/>
                <w:sz w:val="22"/>
                <w:szCs w:val="22"/>
              </w:rPr>
            </w:pPr>
            <w:r>
              <w:rPr>
                <w:rFonts w:hint="eastAsia" w:asciiTheme="minorEastAsia" w:hAnsiTheme="minorEastAsia" w:eastAsiaTheme="minorEastAsia"/>
                <w:sz w:val="22"/>
                <w:szCs w:val="22"/>
              </w:rPr>
              <w:t>版面整洁性</w:t>
            </w:r>
          </w:p>
        </w:tc>
        <w:tc>
          <w:tcPr>
            <w:tcW w:w="5135" w:type="dxa"/>
            <w:noWrap/>
            <w:tcMar>
              <w:top w:w="0" w:type="dxa"/>
              <w:left w:w="108" w:type="dxa"/>
              <w:bottom w:w="0" w:type="dxa"/>
              <w:right w:w="108" w:type="dxa"/>
            </w:tcMar>
            <w:vAlign w:val="center"/>
          </w:tcPr>
          <w:p w14:paraId="13DF2123">
            <w:pPr>
              <w:rPr>
                <w:rFonts w:asciiTheme="minorEastAsia" w:hAnsiTheme="minorEastAsia" w:eastAsiaTheme="minorEastAsia"/>
                <w:sz w:val="22"/>
                <w:szCs w:val="22"/>
              </w:rPr>
            </w:pPr>
            <w:r>
              <w:rPr>
                <w:rFonts w:hint="eastAsia" w:asciiTheme="minorEastAsia" w:hAnsiTheme="minorEastAsia" w:eastAsiaTheme="minorEastAsia"/>
                <w:sz w:val="22"/>
                <w:szCs w:val="22"/>
              </w:rPr>
              <w:t>不起脏、糊版、堆墨、或有墨皮及橡皮的脏点、白点。</w:t>
            </w:r>
          </w:p>
        </w:tc>
      </w:tr>
      <w:tr w14:paraId="7DE62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62" w:type="dxa"/>
            <w:vMerge w:val="continue"/>
            <w:vAlign w:val="center"/>
          </w:tcPr>
          <w:p w14:paraId="0E60C47F">
            <w:pPr>
              <w:widowControl/>
              <w:jc w:val="left"/>
              <w:rPr>
                <w:rFonts w:asciiTheme="minorEastAsia" w:hAnsiTheme="minorEastAsia" w:eastAsiaTheme="minorEastAsia"/>
                <w:sz w:val="22"/>
                <w:szCs w:val="22"/>
              </w:rPr>
            </w:pPr>
          </w:p>
        </w:tc>
        <w:tc>
          <w:tcPr>
            <w:tcW w:w="2332" w:type="dxa"/>
            <w:noWrap/>
            <w:tcMar>
              <w:top w:w="0" w:type="dxa"/>
              <w:left w:w="108" w:type="dxa"/>
              <w:bottom w:w="0" w:type="dxa"/>
              <w:right w:w="108" w:type="dxa"/>
            </w:tcMar>
            <w:vAlign w:val="center"/>
          </w:tcPr>
          <w:p w14:paraId="315EE220">
            <w:pPr>
              <w:rPr>
                <w:rFonts w:asciiTheme="minorEastAsia" w:hAnsiTheme="minorEastAsia" w:eastAsiaTheme="minorEastAsia"/>
                <w:sz w:val="22"/>
                <w:szCs w:val="22"/>
              </w:rPr>
            </w:pPr>
            <w:r>
              <w:rPr>
                <w:rFonts w:hint="eastAsia" w:asciiTheme="minorEastAsia" w:hAnsiTheme="minorEastAsia" w:eastAsiaTheme="minorEastAsia"/>
                <w:sz w:val="22"/>
                <w:szCs w:val="22"/>
              </w:rPr>
              <w:t>油墨干燥度</w:t>
            </w:r>
          </w:p>
        </w:tc>
        <w:tc>
          <w:tcPr>
            <w:tcW w:w="5135" w:type="dxa"/>
            <w:noWrap/>
            <w:tcMar>
              <w:top w:w="0" w:type="dxa"/>
              <w:left w:w="108" w:type="dxa"/>
              <w:bottom w:w="0" w:type="dxa"/>
              <w:right w:w="108" w:type="dxa"/>
            </w:tcMar>
            <w:vAlign w:val="center"/>
          </w:tcPr>
          <w:p w14:paraId="2015C2FD">
            <w:pPr>
              <w:rPr>
                <w:rFonts w:asciiTheme="minorEastAsia" w:hAnsiTheme="minorEastAsia" w:eastAsiaTheme="minorEastAsia"/>
                <w:sz w:val="22"/>
                <w:szCs w:val="22"/>
              </w:rPr>
            </w:pPr>
            <w:r>
              <w:rPr>
                <w:rFonts w:hint="eastAsia" w:asciiTheme="minorEastAsia" w:hAnsiTheme="minorEastAsia" w:eastAsiaTheme="minorEastAsia"/>
                <w:sz w:val="22"/>
                <w:szCs w:val="22"/>
              </w:rPr>
              <w:t>不粘底、粘连、粘手。</w:t>
            </w:r>
          </w:p>
        </w:tc>
      </w:tr>
      <w:tr w14:paraId="2EC1E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62" w:type="dxa"/>
            <w:vMerge w:val="continue"/>
            <w:vAlign w:val="center"/>
          </w:tcPr>
          <w:p w14:paraId="00F92D2C">
            <w:pPr>
              <w:widowControl/>
              <w:jc w:val="left"/>
              <w:rPr>
                <w:rFonts w:asciiTheme="minorEastAsia" w:hAnsiTheme="minorEastAsia" w:eastAsiaTheme="minorEastAsia"/>
                <w:sz w:val="22"/>
                <w:szCs w:val="22"/>
              </w:rPr>
            </w:pPr>
          </w:p>
        </w:tc>
        <w:tc>
          <w:tcPr>
            <w:tcW w:w="2332" w:type="dxa"/>
            <w:noWrap/>
            <w:tcMar>
              <w:top w:w="0" w:type="dxa"/>
              <w:left w:w="108" w:type="dxa"/>
              <w:bottom w:w="0" w:type="dxa"/>
              <w:right w:w="108" w:type="dxa"/>
            </w:tcMar>
            <w:vAlign w:val="center"/>
          </w:tcPr>
          <w:p w14:paraId="7246AA74">
            <w:pPr>
              <w:rPr>
                <w:rFonts w:asciiTheme="minorEastAsia" w:hAnsiTheme="minorEastAsia" w:eastAsiaTheme="minorEastAsia"/>
                <w:sz w:val="22"/>
                <w:szCs w:val="22"/>
              </w:rPr>
            </w:pPr>
            <w:r>
              <w:rPr>
                <w:rFonts w:hint="eastAsia" w:asciiTheme="minorEastAsia" w:hAnsiTheme="minorEastAsia" w:eastAsiaTheme="minorEastAsia"/>
                <w:sz w:val="22"/>
                <w:szCs w:val="22"/>
              </w:rPr>
              <w:t>油墨粘结力</w:t>
            </w:r>
          </w:p>
        </w:tc>
        <w:tc>
          <w:tcPr>
            <w:tcW w:w="5135" w:type="dxa"/>
            <w:noWrap/>
            <w:tcMar>
              <w:top w:w="0" w:type="dxa"/>
              <w:left w:w="108" w:type="dxa"/>
              <w:bottom w:w="0" w:type="dxa"/>
              <w:right w:w="108" w:type="dxa"/>
            </w:tcMar>
            <w:vAlign w:val="center"/>
          </w:tcPr>
          <w:p w14:paraId="1C060A32">
            <w:pPr>
              <w:rPr>
                <w:rFonts w:asciiTheme="minorEastAsia" w:hAnsiTheme="minorEastAsia" w:eastAsiaTheme="minorEastAsia"/>
                <w:sz w:val="22"/>
                <w:szCs w:val="22"/>
              </w:rPr>
            </w:pPr>
            <w:r>
              <w:rPr>
                <w:rFonts w:hint="eastAsia" w:asciiTheme="minorEastAsia" w:hAnsiTheme="minorEastAsia" w:eastAsiaTheme="minorEastAsia"/>
                <w:sz w:val="22"/>
                <w:szCs w:val="22"/>
              </w:rPr>
              <w:t>粘结力良好，不易擦掉、拉上色墨。</w:t>
            </w:r>
          </w:p>
        </w:tc>
      </w:tr>
      <w:tr w14:paraId="26E49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62" w:type="dxa"/>
            <w:vMerge w:val="continue"/>
            <w:vAlign w:val="center"/>
          </w:tcPr>
          <w:p w14:paraId="60E05E35">
            <w:pPr>
              <w:widowControl/>
              <w:jc w:val="left"/>
              <w:rPr>
                <w:rFonts w:asciiTheme="minorEastAsia" w:hAnsiTheme="minorEastAsia" w:eastAsiaTheme="minorEastAsia"/>
                <w:sz w:val="22"/>
                <w:szCs w:val="22"/>
              </w:rPr>
            </w:pPr>
          </w:p>
        </w:tc>
        <w:tc>
          <w:tcPr>
            <w:tcW w:w="2332" w:type="dxa"/>
            <w:noWrap/>
            <w:tcMar>
              <w:top w:w="0" w:type="dxa"/>
              <w:left w:w="108" w:type="dxa"/>
              <w:bottom w:w="0" w:type="dxa"/>
              <w:right w:w="108" w:type="dxa"/>
            </w:tcMar>
            <w:vAlign w:val="center"/>
          </w:tcPr>
          <w:p w14:paraId="1A8B0DB8">
            <w:pPr>
              <w:rPr>
                <w:rFonts w:asciiTheme="minorEastAsia" w:hAnsiTheme="minorEastAsia" w:eastAsiaTheme="minorEastAsia"/>
                <w:sz w:val="22"/>
                <w:szCs w:val="22"/>
              </w:rPr>
            </w:pPr>
            <w:r>
              <w:rPr>
                <w:rFonts w:hint="eastAsia" w:asciiTheme="minorEastAsia" w:hAnsiTheme="minorEastAsia" w:eastAsiaTheme="minorEastAsia"/>
                <w:sz w:val="22"/>
                <w:szCs w:val="22"/>
              </w:rPr>
              <w:t>外来影</w:t>
            </w:r>
          </w:p>
        </w:tc>
        <w:tc>
          <w:tcPr>
            <w:tcW w:w="5135" w:type="dxa"/>
            <w:noWrap/>
            <w:tcMar>
              <w:top w:w="0" w:type="dxa"/>
              <w:left w:w="108" w:type="dxa"/>
              <w:bottom w:w="0" w:type="dxa"/>
              <w:right w:w="108" w:type="dxa"/>
            </w:tcMar>
            <w:vAlign w:val="center"/>
          </w:tcPr>
          <w:p w14:paraId="639A05FC">
            <w:pPr>
              <w:rPr>
                <w:rFonts w:asciiTheme="minorEastAsia" w:hAnsiTheme="minorEastAsia" w:eastAsiaTheme="minorEastAsia"/>
                <w:sz w:val="22"/>
                <w:szCs w:val="22"/>
              </w:rPr>
            </w:pPr>
            <w:r>
              <w:rPr>
                <w:rFonts w:hint="eastAsia" w:asciiTheme="minorEastAsia" w:hAnsiTheme="minorEastAsia" w:eastAsiaTheme="minorEastAsia"/>
                <w:sz w:val="22"/>
                <w:szCs w:val="22"/>
              </w:rPr>
              <w:t>无鬼影、龟纹</w:t>
            </w:r>
          </w:p>
        </w:tc>
      </w:tr>
      <w:tr w14:paraId="31B6C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62" w:type="dxa"/>
            <w:vMerge w:val="continue"/>
            <w:vAlign w:val="center"/>
          </w:tcPr>
          <w:p w14:paraId="29E65E87">
            <w:pPr>
              <w:widowControl/>
              <w:jc w:val="left"/>
              <w:rPr>
                <w:rFonts w:asciiTheme="minorEastAsia" w:hAnsiTheme="minorEastAsia" w:eastAsiaTheme="minorEastAsia"/>
                <w:sz w:val="22"/>
                <w:szCs w:val="22"/>
              </w:rPr>
            </w:pPr>
          </w:p>
        </w:tc>
        <w:tc>
          <w:tcPr>
            <w:tcW w:w="2332" w:type="dxa"/>
            <w:noWrap/>
            <w:tcMar>
              <w:top w:w="0" w:type="dxa"/>
              <w:left w:w="108" w:type="dxa"/>
              <w:bottom w:w="0" w:type="dxa"/>
              <w:right w:w="108" w:type="dxa"/>
            </w:tcMar>
            <w:vAlign w:val="center"/>
          </w:tcPr>
          <w:p w14:paraId="05C52A40">
            <w:pPr>
              <w:rPr>
                <w:rFonts w:asciiTheme="minorEastAsia" w:hAnsiTheme="minorEastAsia" w:eastAsiaTheme="minorEastAsia"/>
                <w:sz w:val="22"/>
                <w:szCs w:val="22"/>
              </w:rPr>
            </w:pPr>
            <w:r>
              <w:rPr>
                <w:rFonts w:hint="eastAsia" w:asciiTheme="minorEastAsia" w:hAnsiTheme="minorEastAsia" w:eastAsiaTheme="minorEastAsia"/>
                <w:sz w:val="22"/>
                <w:szCs w:val="22"/>
              </w:rPr>
              <w:t>偏色度</w:t>
            </w:r>
          </w:p>
        </w:tc>
        <w:tc>
          <w:tcPr>
            <w:tcW w:w="5135" w:type="dxa"/>
            <w:noWrap/>
            <w:tcMar>
              <w:top w:w="0" w:type="dxa"/>
              <w:left w:w="108" w:type="dxa"/>
              <w:bottom w:w="0" w:type="dxa"/>
              <w:right w:w="108" w:type="dxa"/>
            </w:tcMar>
            <w:vAlign w:val="center"/>
          </w:tcPr>
          <w:p w14:paraId="77F29E7B">
            <w:pPr>
              <w:rPr>
                <w:rFonts w:asciiTheme="minorEastAsia" w:hAnsiTheme="minorEastAsia" w:eastAsiaTheme="minorEastAsia"/>
                <w:sz w:val="22"/>
                <w:szCs w:val="22"/>
              </w:rPr>
            </w:pPr>
            <w:r>
              <w:rPr>
                <w:rFonts w:hint="eastAsia" w:asciiTheme="minorEastAsia" w:hAnsiTheme="minorEastAsia" w:eastAsiaTheme="minorEastAsia"/>
                <w:sz w:val="22"/>
                <w:szCs w:val="22"/>
              </w:rPr>
              <w:t xml:space="preserve">在 0.15 个墨度范围 </w:t>
            </w:r>
          </w:p>
        </w:tc>
      </w:tr>
      <w:tr w14:paraId="72A51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62" w:type="dxa"/>
            <w:vMerge w:val="continue"/>
            <w:vAlign w:val="center"/>
          </w:tcPr>
          <w:p w14:paraId="4D206513">
            <w:pPr>
              <w:widowControl/>
              <w:jc w:val="left"/>
              <w:rPr>
                <w:rFonts w:asciiTheme="minorEastAsia" w:hAnsiTheme="minorEastAsia" w:eastAsiaTheme="minorEastAsia"/>
                <w:sz w:val="22"/>
                <w:szCs w:val="22"/>
              </w:rPr>
            </w:pPr>
          </w:p>
        </w:tc>
        <w:tc>
          <w:tcPr>
            <w:tcW w:w="2332" w:type="dxa"/>
            <w:noWrap/>
            <w:tcMar>
              <w:top w:w="0" w:type="dxa"/>
              <w:left w:w="108" w:type="dxa"/>
              <w:bottom w:w="0" w:type="dxa"/>
              <w:right w:w="108" w:type="dxa"/>
            </w:tcMar>
            <w:vAlign w:val="center"/>
          </w:tcPr>
          <w:p w14:paraId="6ED26B28">
            <w:pPr>
              <w:rPr>
                <w:rFonts w:asciiTheme="minorEastAsia" w:hAnsiTheme="minorEastAsia" w:eastAsiaTheme="minorEastAsia"/>
                <w:sz w:val="22"/>
                <w:szCs w:val="22"/>
              </w:rPr>
            </w:pPr>
            <w:r>
              <w:rPr>
                <w:rFonts w:hint="eastAsia" w:asciiTheme="minorEastAsia" w:hAnsiTheme="minorEastAsia" w:eastAsiaTheme="minorEastAsia"/>
                <w:sz w:val="22"/>
                <w:szCs w:val="22"/>
              </w:rPr>
              <w:t>字色套位偏差</w:t>
            </w:r>
          </w:p>
        </w:tc>
        <w:tc>
          <w:tcPr>
            <w:tcW w:w="5135" w:type="dxa"/>
            <w:noWrap/>
            <w:tcMar>
              <w:top w:w="0" w:type="dxa"/>
              <w:left w:w="108" w:type="dxa"/>
              <w:bottom w:w="0" w:type="dxa"/>
              <w:right w:w="108" w:type="dxa"/>
            </w:tcMar>
            <w:vAlign w:val="center"/>
          </w:tcPr>
          <w:p w14:paraId="1965D4E5">
            <w:pPr>
              <w:rPr>
                <w:rFonts w:asciiTheme="minorEastAsia" w:hAnsiTheme="minorEastAsia" w:eastAsiaTheme="minorEastAsia"/>
                <w:sz w:val="22"/>
                <w:szCs w:val="22"/>
              </w:rPr>
            </w:pPr>
            <w:r>
              <w:rPr>
                <w:rFonts w:hint="eastAsia" w:asciiTheme="minorEastAsia" w:hAnsiTheme="minorEastAsia" w:eastAsiaTheme="minorEastAsia"/>
                <w:sz w:val="22"/>
                <w:szCs w:val="22"/>
              </w:rPr>
              <w:t>小于 0.08mm 的距离</w:t>
            </w:r>
          </w:p>
        </w:tc>
      </w:tr>
      <w:tr w14:paraId="035E0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62" w:type="dxa"/>
            <w:vMerge w:val="continue"/>
            <w:vAlign w:val="center"/>
          </w:tcPr>
          <w:p w14:paraId="42558241">
            <w:pPr>
              <w:widowControl/>
              <w:jc w:val="left"/>
              <w:rPr>
                <w:rFonts w:asciiTheme="minorEastAsia" w:hAnsiTheme="minorEastAsia" w:eastAsiaTheme="minorEastAsia"/>
                <w:sz w:val="22"/>
                <w:szCs w:val="22"/>
              </w:rPr>
            </w:pPr>
          </w:p>
        </w:tc>
        <w:tc>
          <w:tcPr>
            <w:tcW w:w="7467" w:type="dxa"/>
            <w:gridSpan w:val="2"/>
            <w:noWrap/>
            <w:tcMar>
              <w:top w:w="0" w:type="dxa"/>
              <w:left w:w="108" w:type="dxa"/>
              <w:bottom w:w="0" w:type="dxa"/>
              <w:right w:w="108" w:type="dxa"/>
            </w:tcMar>
            <w:vAlign w:val="center"/>
          </w:tcPr>
          <w:p w14:paraId="6572E23C">
            <w:pPr>
              <w:rPr>
                <w:rFonts w:asciiTheme="minorEastAsia" w:hAnsiTheme="minorEastAsia" w:eastAsiaTheme="minorEastAsia"/>
                <w:sz w:val="22"/>
                <w:szCs w:val="22"/>
              </w:rPr>
            </w:pPr>
            <w:r>
              <w:rPr>
                <w:rFonts w:hint="eastAsia" w:asciiTheme="minorEastAsia" w:hAnsiTheme="minorEastAsia" w:eastAsiaTheme="minorEastAsia"/>
                <w:sz w:val="22"/>
                <w:szCs w:val="22"/>
              </w:rPr>
              <w:t>卡基材质采用优质PVC/PET材料,空白卡面需经覆膜处理，图案精美、色泽鲜艳、表面耐磨，在正常应用情况下，图案不褪色、不剥落。</w:t>
            </w:r>
          </w:p>
        </w:tc>
      </w:tr>
      <w:tr w14:paraId="3A936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62" w:type="dxa"/>
            <w:vMerge w:val="restart"/>
            <w:noWrap/>
            <w:tcMar>
              <w:top w:w="0" w:type="dxa"/>
              <w:left w:w="108" w:type="dxa"/>
              <w:bottom w:w="0" w:type="dxa"/>
              <w:right w:w="108" w:type="dxa"/>
            </w:tcMar>
            <w:vAlign w:val="center"/>
          </w:tcPr>
          <w:p w14:paraId="48C64C76">
            <w:pPr>
              <w:jc w:val="center"/>
              <w:rPr>
                <w:rFonts w:asciiTheme="minorEastAsia" w:hAnsiTheme="minorEastAsia" w:eastAsiaTheme="minorEastAsia"/>
                <w:sz w:val="22"/>
                <w:szCs w:val="22"/>
              </w:rPr>
            </w:pPr>
            <w:r>
              <w:rPr>
                <w:rFonts w:hint="eastAsia" w:asciiTheme="minorEastAsia" w:hAnsiTheme="minorEastAsia" w:eastAsiaTheme="minorEastAsia"/>
                <w:sz w:val="22"/>
                <w:szCs w:val="22"/>
              </w:rPr>
              <w:t>7</w:t>
            </w:r>
          </w:p>
        </w:tc>
        <w:tc>
          <w:tcPr>
            <w:tcW w:w="7467" w:type="dxa"/>
            <w:gridSpan w:val="2"/>
            <w:noWrap/>
            <w:tcMar>
              <w:top w:w="0" w:type="dxa"/>
              <w:left w:w="108" w:type="dxa"/>
              <w:bottom w:w="0" w:type="dxa"/>
              <w:right w:w="108" w:type="dxa"/>
            </w:tcMar>
            <w:vAlign w:val="center"/>
          </w:tcPr>
          <w:p w14:paraId="7A702048">
            <w:pPr>
              <w:rPr>
                <w:rFonts w:asciiTheme="minorEastAsia" w:hAnsiTheme="minorEastAsia" w:eastAsiaTheme="minorEastAsia"/>
                <w:sz w:val="22"/>
                <w:szCs w:val="22"/>
              </w:rPr>
            </w:pPr>
            <w:r>
              <w:rPr>
                <w:rFonts w:hint="eastAsia" w:asciiTheme="minorEastAsia" w:hAnsiTheme="minorEastAsia" w:eastAsiaTheme="minorEastAsia"/>
                <w:sz w:val="22"/>
                <w:szCs w:val="22"/>
              </w:rPr>
              <w:t>卡片机电特性：卡片的机械特性、电气特性要符合相关卡片规范，遵从ISO/IEC7816系列标准</w:t>
            </w:r>
          </w:p>
        </w:tc>
      </w:tr>
      <w:tr w14:paraId="53C07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62" w:type="dxa"/>
            <w:vMerge w:val="continue"/>
            <w:vAlign w:val="center"/>
          </w:tcPr>
          <w:p w14:paraId="44CB9883">
            <w:pPr>
              <w:widowControl/>
              <w:jc w:val="left"/>
              <w:rPr>
                <w:rFonts w:asciiTheme="minorEastAsia" w:hAnsiTheme="minorEastAsia" w:eastAsiaTheme="minorEastAsia"/>
                <w:sz w:val="22"/>
                <w:szCs w:val="22"/>
              </w:rPr>
            </w:pPr>
          </w:p>
        </w:tc>
        <w:tc>
          <w:tcPr>
            <w:tcW w:w="2332" w:type="dxa"/>
            <w:noWrap/>
            <w:tcMar>
              <w:top w:w="0" w:type="dxa"/>
              <w:left w:w="108" w:type="dxa"/>
              <w:bottom w:w="0" w:type="dxa"/>
              <w:right w:w="108" w:type="dxa"/>
            </w:tcMar>
            <w:vAlign w:val="center"/>
          </w:tcPr>
          <w:p w14:paraId="51A6BF0B">
            <w:pPr>
              <w:rPr>
                <w:rFonts w:asciiTheme="minorEastAsia" w:hAnsiTheme="minorEastAsia" w:eastAsiaTheme="minorEastAsia"/>
                <w:sz w:val="22"/>
                <w:szCs w:val="22"/>
              </w:rPr>
            </w:pPr>
            <w:r>
              <w:rPr>
                <w:rFonts w:hint="eastAsia" w:asciiTheme="minorEastAsia" w:hAnsiTheme="minorEastAsia" w:eastAsiaTheme="minorEastAsia"/>
                <w:sz w:val="22"/>
                <w:szCs w:val="22"/>
              </w:rPr>
              <w:t>模块高度</w:t>
            </w:r>
          </w:p>
          <w:p w14:paraId="04FBE097">
            <w:pPr>
              <w:rPr>
                <w:rFonts w:asciiTheme="minorEastAsia" w:hAnsiTheme="minorEastAsia" w:eastAsiaTheme="minorEastAsia"/>
                <w:sz w:val="22"/>
                <w:szCs w:val="22"/>
              </w:rPr>
            </w:pPr>
            <w:r>
              <w:rPr>
                <w:rFonts w:hint="eastAsia" w:asciiTheme="minorEastAsia" w:hAnsiTheme="minorEastAsia" w:eastAsiaTheme="minorEastAsia"/>
                <w:sz w:val="22"/>
                <w:szCs w:val="22"/>
              </w:rPr>
              <w:t> </w:t>
            </w:r>
          </w:p>
        </w:tc>
        <w:tc>
          <w:tcPr>
            <w:tcW w:w="5135" w:type="dxa"/>
            <w:noWrap/>
            <w:tcMar>
              <w:top w:w="0" w:type="dxa"/>
              <w:left w:w="108" w:type="dxa"/>
              <w:bottom w:w="0" w:type="dxa"/>
              <w:right w:w="108" w:type="dxa"/>
            </w:tcMar>
          </w:tcPr>
          <w:p w14:paraId="4DE3C14B">
            <w:pPr>
              <w:rPr>
                <w:rFonts w:asciiTheme="minorEastAsia" w:hAnsiTheme="minorEastAsia" w:eastAsiaTheme="minorEastAsia"/>
                <w:sz w:val="22"/>
                <w:szCs w:val="22"/>
              </w:rPr>
            </w:pPr>
            <w:r>
              <w:rPr>
                <w:rFonts w:hint="eastAsia" w:asciiTheme="minorEastAsia" w:hAnsiTheme="minorEastAsia" w:eastAsiaTheme="minorEastAsia"/>
                <w:sz w:val="22"/>
                <w:szCs w:val="22"/>
              </w:rPr>
              <w:t>IC模块表面的最高点不应高于卡表面平面0.05mm</w:t>
            </w:r>
          </w:p>
          <w:p w14:paraId="357B3C2E">
            <w:pPr>
              <w:rPr>
                <w:rFonts w:asciiTheme="minorEastAsia" w:hAnsiTheme="minorEastAsia" w:eastAsiaTheme="minorEastAsia"/>
                <w:sz w:val="22"/>
                <w:szCs w:val="22"/>
              </w:rPr>
            </w:pPr>
            <w:r>
              <w:rPr>
                <w:rFonts w:hint="eastAsia" w:asciiTheme="minorEastAsia" w:hAnsiTheme="minorEastAsia" w:eastAsiaTheme="minorEastAsia"/>
                <w:sz w:val="22"/>
                <w:szCs w:val="22"/>
              </w:rPr>
              <w:t>IC模块表面的最低点不应低于卡表面平面0.05mm</w:t>
            </w:r>
          </w:p>
        </w:tc>
      </w:tr>
      <w:tr w14:paraId="035EE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62" w:type="dxa"/>
            <w:vMerge w:val="continue"/>
            <w:vAlign w:val="center"/>
          </w:tcPr>
          <w:p w14:paraId="19235C57">
            <w:pPr>
              <w:widowControl/>
              <w:jc w:val="left"/>
              <w:rPr>
                <w:rFonts w:asciiTheme="minorEastAsia" w:hAnsiTheme="minorEastAsia" w:eastAsiaTheme="minorEastAsia"/>
                <w:sz w:val="22"/>
                <w:szCs w:val="22"/>
              </w:rPr>
            </w:pPr>
          </w:p>
        </w:tc>
        <w:tc>
          <w:tcPr>
            <w:tcW w:w="2332" w:type="dxa"/>
            <w:noWrap/>
            <w:tcMar>
              <w:top w:w="0" w:type="dxa"/>
              <w:left w:w="108" w:type="dxa"/>
              <w:bottom w:w="0" w:type="dxa"/>
              <w:right w:w="108" w:type="dxa"/>
            </w:tcMar>
            <w:vAlign w:val="center"/>
          </w:tcPr>
          <w:p w14:paraId="7C9A45ED">
            <w:pPr>
              <w:rPr>
                <w:rFonts w:asciiTheme="minorEastAsia" w:hAnsiTheme="minorEastAsia" w:eastAsiaTheme="minorEastAsia"/>
                <w:sz w:val="22"/>
                <w:szCs w:val="22"/>
              </w:rPr>
            </w:pPr>
            <w:r>
              <w:rPr>
                <w:rFonts w:hint="eastAsia" w:asciiTheme="minorEastAsia" w:hAnsiTheme="minorEastAsia" w:eastAsiaTheme="minorEastAsia"/>
                <w:sz w:val="22"/>
                <w:szCs w:val="22"/>
              </w:rPr>
              <w:t>整卡翘曲度</w:t>
            </w:r>
          </w:p>
        </w:tc>
        <w:tc>
          <w:tcPr>
            <w:tcW w:w="5135" w:type="dxa"/>
            <w:noWrap/>
            <w:tcMar>
              <w:top w:w="0" w:type="dxa"/>
              <w:left w:w="108" w:type="dxa"/>
              <w:bottom w:w="0" w:type="dxa"/>
              <w:right w:w="108" w:type="dxa"/>
            </w:tcMar>
          </w:tcPr>
          <w:p w14:paraId="45798A83">
            <w:pPr>
              <w:rPr>
                <w:rFonts w:asciiTheme="minorEastAsia" w:hAnsiTheme="minorEastAsia" w:eastAsiaTheme="minorEastAsia"/>
                <w:sz w:val="22"/>
                <w:szCs w:val="22"/>
              </w:rPr>
            </w:pPr>
            <w:r>
              <w:rPr>
                <w:rFonts w:hint="eastAsia" w:asciiTheme="minorEastAsia" w:hAnsiTheme="minorEastAsia" w:eastAsiaTheme="minorEastAsia"/>
                <w:sz w:val="22"/>
                <w:szCs w:val="22"/>
              </w:rPr>
              <w:t>翘曲最大值应不大于1.5mm</w:t>
            </w:r>
          </w:p>
          <w:p w14:paraId="62C38F57">
            <w:pPr>
              <w:rPr>
                <w:rFonts w:asciiTheme="minorEastAsia" w:hAnsiTheme="minorEastAsia" w:eastAsiaTheme="minorEastAsia"/>
                <w:sz w:val="22"/>
                <w:szCs w:val="22"/>
              </w:rPr>
            </w:pPr>
            <w:r>
              <w:rPr>
                <w:rFonts w:hint="eastAsia" w:asciiTheme="minorEastAsia" w:hAnsiTheme="minorEastAsia" w:eastAsiaTheme="minorEastAsia"/>
                <w:sz w:val="22"/>
                <w:szCs w:val="22"/>
              </w:rPr>
              <w:t>卡片切边毛刺长度：＜0.08mm</w:t>
            </w:r>
          </w:p>
        </w:tc>
      </w:tr>
      <w:tr w14:paraId="4FBFA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62" w:type="dxa"/>
            <w:vMerge w:val="continue"/>
            <w:vAlign w:val="center"/>
          </w:tcPr>
          <w:p w14:paraId="6C019ACB">
            <w:pPr>
              <w:widowControl/>
              <w:jc w:val="left"/>
              <w:rPr>
                <w:rFonts w:asciiTheme="minorEastAsia" w:hAnsiTheme="minorEastAsia" w:eastAsiaTheme="minorEastAsia"/>
                <w:sz w:val="22"/>
                <w:szCs w:val="22"/>
              </w:rPr>
            </w:pPr>
          </w:p>
        </w:tc>
        <w:tc>
          <w:tcPr>
            <w:tcW w:w="2332" w:type="dxa"/>
            <w:noWrap/>
            <w:tcMar>
              <w:top w:w="0" w:type="dxa"/>
              <w:left w:w="108" w:type="dxa"/>
              <w:bottom w:w="0" w:type="dxa"/>
              <w:right w:w="108" w:type="dxa"/>
            </w:tcMar>
            <w:vAlign w:val="center"/>
          </w:tcPr>
          <w:p w14:paraId="149C58A2">
            <w:pPr>
              <w:rPr>
                <w:rFonts w:asciiTheme="minorEastAsia" w:hAnsiTheme="minorEastAsia" w:eastAsiaTheme="minorEastAsia"/>
                <w:sz w:val="22"/>
                <w:szCs w:val="22"/>
              </w:rPr>
            </w:pPr>
            <w:r>
              <w:rPr>
                <w:rFonts w:hint="eastAsia" w:asciiTheme="minorEastAsia" w:hAnsiTheme="minorEastAsia" w:eastAsiaTheme="minorEastAsia"/>
                <w:sz w:val="22"/>
                <w:szCs w:val="22"/>
              </w:rPr>
              <w:t>弯曲刚度</w:t>
            </w:r>
          </w:p>
        </w:tc>
        <w:tc>
          <w:tcPr>
            <w:tcW w:w="5135" w:type="dxa"/>
            <w:noWrap/>
            <w:tcMar>
              <w:top w:w="0" w:type="dxa"/>
              <w:left w:w="108" w:type="dxa"/>
              <w:bottom w:w="0" w:type="dxa"/>
              <w:right w:w="108" w:type="dxa"/>
            </w:tcMar>
          </w:tcPr>
          <w:p w14:paraId="4D00EE21">
            <w:pPr>
              <w:rPr>
                <w:rFonts w:asciiTheme="minorEastAsia" w:hAnsiTheme="minorEastAsia" w:eastAsiaTheme="minorEastAsia"/>
                <w:sz w:val="22"/>
                <w:szCs w:val="22"/>
              </w:rPr>
            </w:pPr>
            <w:r>
              <w:rPr>
                <w:rFonts w:hint="eastAsia" w:asciiTheme="minorEastAsia" w:hAnsiTheme="minorEastAsia" w:eastAsiaTheme="minorEastAsia"/>
                <w:sz w:val="22"/>
                <w:szCs w:val="22"/>
              </w:rPr>
              <w:t>弹性变形量应在3mm与35mm之间</w:t>
            </w:r>
          </w:p>
          <w:p w14:paraId="37BC596E">
            <w:pPr>
              <w:rPr>
                <w:rFonts w:asciiTheme="minorEastAsia" w:hAnsiTheme="minorEastAsia" w:eastAsiaTheme="minorEastAsia"/>
                <w:sz w:val="22"/>
                <w:szCs w:val="22"/>
              </w:rPr>
            </w:pPr>
            <w:r>
              <w:rPr>
                <w:rFonts w:hint="eastAsia" w:asciiTheme="minorEastAsia" w:hAnsiTheme="minorEastAsia" w:eastAsiaTheme="minorEastAsia"/>
                <w:sz w:val="22"/>
                <w:szCs w:val="22"/>
              </w:rPr>
              <w:t>塑性变形量应小于1.5mm</w:t>
            </w:r>
          </w:p>
        </w:tc>
      </w:tr>
      <w:tr w14:paraId="5EE8E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62" w:type="dxa"/>
            <w:vMerge w:val="continue"/>
            <w:vAlign w:val="center"/>
          </w:tcPr>
          <w:p w14:paraId="070E0BE4">
            <w:pPr>
              <w:widowControl/>
              <w:jc w:val="left"/>
              <w:rPr>
                <w:rFonts w:asciiTheme="minorEastAsia" w:hAnsiTheme="minorEastAsia" w:eastAsiaTheme="minorEastAsia"/>
                <w:sz w:val="22"/>
                <w:szCs w:val="22"/>
              </w:rPr>
            </w:pPr>
          </w:p>
        </w:tc>
        <w:tc>
          <w:tcPr>
            <w:tcW w:w="2332" w:type="dxa"/>
            <w:noWrap/>
            <w:tcMar>
              <w:top w:w="0" w:type="dxa"/>
              <w:left w:w="108" w:type="dxa"/>
              <w:bottom w:w="0" w:type="dxa"/>
              <w:right w:w="108" w:type="dxa"/>
            </w:tcMar>
            <w:vAlign w:val="center"/>
          </w:tcPr>
          <w:p w14:paraId="40EAD49D">
            <w:pPr>
              <w:rPr>
                <w:rFonts w:asciiTheme="minorEastAsia" w:hAnsiTheme="minorEastAsia" w:eastAsiaTheme="minorEastAsia"/>
                <w:sz w:val="22"/>
                <w:szCs w:val="22"/>
              </w:rPr>
            </w:pPr>
            <w:r>
              <w:rPr>
                <w:rFonts w:hint="eastAsia" w:asciiTheme="minorEastAsia" w:hAnsiTheme="minorEastAsia" w:eastAsiaTheme="minorEastAsia"/>
                <w:sz w:val="22"/>
                <w:szCs w:val="22"/>
              </w:rPr>
              <w:t>表层剥离强度</w:t>
            </w:r>
          </w:p>
        </w:tc>
        <w:tc>
          <w:tcPr>
            <w:tcW w:w="5135" w:type="dxa"/>
            <w:noWrap/>
            <w:tcMar>
              <w:top w:w="0" w:type="dxa"/>
              <w:left w:w="108" w:type="dxa"/>
              <w:bottom w:w="0" w:type="dxa"/>
              <w:right w:w="108" w:type="dxa"/>
            </w:tcMar>
          </w:tcPr>
          <w:p w14:paraId="0BEB5A03">
            <w:pPr>
              <w:rPr>
                <w:rFonts w:asciiTheme="minorEastAsia" w:hAnsiTheme="minorEastAsia" w:eastAsiaTheme="minorEastAsia"/>
                <w:sz w:val="22"/>
                <w:szCs w:val="22"/>
              </w:rPr>
            </w:pPr>
            <w:r>
              <w:rPr>
                <w:rFonts w:hint="eastAsia" w:asciiTheme="minorEastAsia" w:hAnsiTheme="minorEastAsia" w:eastAsiaTheme="minorEastAsia"/>
                <w:sz w:val="22"/>
                <w:szCs w:val="22"/>
              </w:rPr>
              <w:t>≥6N/cm</w:t>
            </w:r>
          </w:p>
        </w:tc>
      </w:tr>
      <w:tr w14:paraId="32B0F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62" w:type="dxa"/>
            <w:vMerge w:val="continue"/>
            <w:vAlign w:val="center"/>
          </w:tcPr>
          <w:p w14:paraId="285E269B">
            <w:pPr>
              <w:widowControl/>
              <w:jc w:val="left"/>
              <w:rPr>
                <w:rFonts w:asciiTheme="minorEastAsia" w:hAnsiTheme="minorEastAsia" w:eastAsiaTheme="minorEastAsia"/>
                <w:sz w:val="22"/>
                <w:szCs w:val="22"/>
              </w:rPr>
            </w:pPr>
          </w:p>
        </w:tc>
        <w:tc>
          <w:tcPr>
            <w:tcW w:w="2332" w:type="dxa"/>
            <w:noWrap/>
            <w:tcMar>
              <w:top w:w="0" w:type="dxa"/>
              <w:left w:w="108" w:type="dxa"/>
              <w:bottom w:w="0" w:type="dxa"/>
              <w:right w:w="108" w:type="dxa"/>
            </w:tcMar>
            <w:vAlign w:val="center"/>
          </w:tcPr>
          <w:p w14:paraId="3EFBC693">
            <w:pPr>
              <w:rPr>
                <w:rFonts w:asciiTheme="minorEastAsia" w:hAnsiTheme="minorEastAsia" w:eastAsiaTheme="minorEastAsia"/>
                <w:sz w:val="22"/>
                <w:szCs w:val="22"/>
              </w:rPr>
            </w:pPr>
            <w:r>
              <w:rPr>
                <w:rFonts w:hint="eastAsia" w:asciiTheme="minorEastAsia" w:hAnsiTheme="minorEastAsia" w:eastAsiaTheme="minorEastAsia"/>
                <w:sz w:val="22"/>
                <w:szCs w:val="22"/>
              </w:rPr>
              <w:t>温、湿度条件下的卡尺寸稳定性和翘曲</w:t>
            </w:r>
          </w:p>
        </w:tc>
        <w:tc>
          <w:tcPr>
            <w:tcW w:w="5135" w:type="dxa"/>
            <w:noWrap/>
            <w:tcMar>
              <w:top w:w="0" w:type="dxa"/>
              <w:left w:w="108" w:type="dxa"/>
              <w:bottom w:w="0" w:type="dxa"/>
              <w:right w:w="108" w:type="dxa"/>
            </w:tcMar>
          </w:tcPr>
          <w:p w14:paraId="5BFDCD11">
            <w:pPr>
              <w:rPr>
                <w:rFonts w:asciiTheme="minorEastAsia" w:hAnsiTheme="minorEastAsia" w:eastAsiaTheme="minorEastAsia"/>
                <w:sz w:val="22"/>
                <w:szCs w:val="22"/>
              </w:rPr>
            </w:pPr>
            <w:r>
              <w:rPr>
                <w:rFonts w:hint="eastAsia" w:asciiTheme="minorEastAsia" w:hAnsiTheme="minorEastAsia" w:eastAsiaTheme="minorEastAsia"/>
                <w:sz w:val="22"/>
                <w:szCs w:val="22"/>
              </w:rPr>
              <w:t>将卡依次置于下列环境下各60分钟（a）-35°C±3°C；（b）50°C±3°C，相对湿度95%±5%将卡取出，放在实验室环境条件下保持24小时，再测卡片尺寸及卡片翘曲，要求卡片尺寸值和最大翘曲值的测量的结果应与原测量值一致</w:t>
            </w:r>
          </w:p>
        </w:tc>
      </w:tr>
      <w:tr w14:paraId="5214C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62" w:type="dxa"/>
            <w:vMerge w:val="continue"/>
            <w:vAlign w:val="center"/>
          </w:tcPr>
          <w:p w14:paraId="49650BB9">
            <w:pPr>
              <w:widowControl/>
              <w:jc w:val="left"/>
              <w:rPr>
                <w:rFonts w:asciiTheme="minorEastAsia" w:hAnsiTheme="minorEastAsia" w:eastAsiaTheme="minorEastAsia"/>
                <w:sz w:val="22"/>
                <w:szCs w:val="22"/>
              </w:rPr>
            </w:pPr>
          </w:p>
        </w:tc>
        <w:tc>
          <w:tcPr>
            <w:tcW w:w="2332" w:type="dxa"/>
            <w:noWrap/>
            <w:tcMar>
              <w:top w:w="0" w:type="dxa"/>
              <w:left w:w="108" w:type="dxa"/>
              <w:bottom w:w="0" w:type="dxa"/>
              <w:right w:w="108" w:type="dxa"/>
            </w:tcMar>
            <w:vAlign w:val="center"/>
          </w:tcPr>
          <w:p w14:paraId="447FA1EE">
            <w:pPr>
              <w:rPr>
                <w:rFonts w:asciiTheme="minorEastAsia" w:hAnsiTheme="minorEastAsia" w:eastAsiaTheme="minorEastAsia"/>
                <w:sz w:val="22"/>
                <w:szCs w:val="22"/>
              </w:rPr>
            </w:pPr>
            <w:r>
              <w:rPr>
                <w:rFonts w:hint="eastAsia" w:asciiTheme="minorEastAsia" w:hAnsiTheme="minorEastAsia" w:eastAsiaTheme="minorEastAsia"/>
                <w:sz w:val="22"/>
                <w:szCs w:val="22"/>
              </w:rPr>
              <w:t>粘结性能</w:t>
            </w:r>
          </w:p>
        </w:tc>
        <w:tc>
          <w:tcPr>
            <w:tcW w:w="5135" w:type="dxa"/>
            <w:noWrap/>
            <w:tcMar>
              <w:top w:w="0" w:type="dxa"/>
              <w:left w:w="108" w:type="dxa"/>
              <w:bottom w:w="0" w:type="dxa"/>
              <w:right w:w="108" w:type="dxa"/>
            </w:tcMar>
          </w:tcPr>
          <w:p w14:paraId="6F740C9D">
            <w:pPr>
              <w:rPr>
                <w:rFonts w:asciiTheme="minorEastAsia" w:hAnsiTheme="minorEastAsia" w:eastAsiaTheme="minorEastAsia"/>
                <w:sz w:val="22"/>
                <w:szCs w:val="22"/>
              </w:rPr>
            </w:pPr>
            <w:r>
              <w:rPr>
                <w:rFonts w:hint="eastAsia" w:asciiTheme="minorEastAsia" w:hAnsiTheme="minorEastAsia" w:eastAsiaTheme="minorEastAsia"/>
                <w:sz w:val="22"/>
                <w:szCs w:val="22"/>
              </w:rPr>
              <w:t>将未打过凸字的卡5个一组叠在一起放入40℃±3℃，相对湿度设定为40%-60%的箱内，使卡背面朝下，其上加以2.5Kpa的均匀压力。48小时之后取 出，可以用手很容易地将单张卡分开。将卡拿到实验室环境温度下立刻观察，应无下列变化：脱层，变色或色转移，表面磨光变化，卡上没有物质转移现象，外观形 变</w:t>
            </w:r>
          </w:p>
        </w:tc>
      </w:tr>
      <w:tr w14:paraId="7B875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62" w:type="dxa"/>
            <w:vMerge w:val="continue"/>
            <w:vAlign w:val="center"/>
          </w:tcPr>
          <w:p w14:paraId="01DAE0E6">
            <w:pPr>
              <w:widowControl/>
              <w:jc w:val="left"/>
              <w:rPr>
                <w:rFonts w:asciiTheme="minorEastAsia" w:hAnsiTheme="minorEastAsia" w:eastAsiaTheme="minorEastAsia"/>
                <w:sz w:val="22"/>
                <w:szCs w:val="22"/>
              </w:rPr>
            </w:pPr>
          </w:p>
        </w:tc>
        <w:tc>
          <w:tcPr>
            <w:tcW w:w="2332" w:type="dxa"/>
            <w:noWrap/>
            <w:tcMar>
              <w:top w:w="0" w:type="dxa"/>
              <w:left w:w="108" w:type="dxa"/>
              <w:bottom w:w="0" w:type="dxa"/>
              <w:right w:w="108" w:type="dxa"/>
            </w:tcMar>
            <w:vAlign w:val="center"/>
          </w:tcPr>
          <w:p w14:paraId="44F29898">
            <w:pPr>
              <w:rPr>
                <w:rFonts w:asciiTheme="minorEastAsia" w:hAnsiTheme="minorEastAsia" w:eastAsiaTheme="minorEastAsia"/>
                <w:sz w:val="22"/>
                <w:szCs w:val="22"/>
              </w:rPr>
            </w:pPr>
            <w:r>
              <w:rPr>
                <w:rFonts w:hint="eastAsia" w:asciiTheme="minorEastAsia" w:hAnsiTheme="minorEastAsia" w:eastAsiaTheme="minorEastAsia"/>
                <w:sz w:val="22"/>
                <w:szCs w:val="22"/>
              </w:rPr>
              <w:t>弯曲性质</w:t>
            </w:r>
          </w:p>
        </w:tc>
        <w:tc>
          <w:tcPr>
            <w:tcW w:w="5135" w:type="dxa"/>
            <w:noWrap/>
            <w:tcMar>
              <w:top w:w="0" w:type="dxa"/>
              <w:left w:w="108" w:type="dxa"/>
              <w:bottom w:w="0" w:type="dxa"/>
              <w:right w:w="108" w:type="dxa"/>
            </w:tcMar>
          </w:tcPr>
          <w:p w14:paraId="29D4CC2D">
            <w:pPr>
              <w:rPr>
                <w:rFonts w:asciiTheme="minorEastAsia" w:hAnsiTheme="minorEastAsia" w:eastAsiaTheme="minorEastAsia"/>
                <w:sz w:val="22"/>
                <w:szCs w:val="22"/>
              </w:rPr>
            </w:pPr>
            <w:r>
              <w:rPr>
                <w:rFonts w:hint="eastAsia" w:asciiTheme="minorEastAsia" w:hAnsiTheme="minorEastAsia" w:eastAsiaTheme="minorEastAsia"/>
                <w:sz w:val="22"/>
                <w:szCs w:val="22"/>
              </w:rPr>
              <w:t>裁制完成之卡必须平直，其曲度、垂直间隙必须在1.27MM以下；</w:t>
            </w:r>
          </w:p>
          <w:p w14:paraId="63A9935E">
            <w:pPr>
              <w:rPr>
                <w:rFonts w:asciiTheme="minorEastAsia" w:hAnsiTheme="minorEastAsia" w:eastAsiaTheme="minorEastAsia"/>
                <w:sz w:val="22"/>
                <w:szCs w:val="22"/>
              </w:rPr>
            </w:pPr>
            <w:r>
              <w:rPr>
                <w:rFonts w:hint="eastAsia" w:asciiTheme="minorEastAsia" w:hAnsiTheme="minorEastAsia" w:eastAsiaTheme="minorEastAsia"/>
                <w:sz w:val="22"/>
                <w:szCs w:val="22"/>
              </w:rPr>
              <w:t>凸字后其曲度垂直间隙必须在2.03MM以下，叠合层不得剥离或脱落</w:t>
            </w:r>
          </w:p>
        </w:tc>
      </w:tr>
      <w:tr w14:paraId="79BAF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762" w:type="dxa"/>
            <w:vMerge w:val="continue"/>
            <w:vAlign w:val="center"/>
          </w:tcPr>
          <w:p w14:paraId="13714A74">
            <w:pPr>
              <w:widowControl/>
              <w:jc w:val="left"/>
              <w:rPr>
                <w:rFonts w:asciiTheme="minorEastAsia" w:hAnsiTheme="minorEastAsia" w:eastAsiaTheme="minorEastAsia"/>
                <w:sz w:val="22"/>
                <w:szCs w:val="22"/>
              </w:rPr>
            </w:pPr>
          </w:p>
        </w:tc>
        <w:tc>
          <w:tcPr>
            <w:tcW w:w="2332" w:type="dxa"/>
            <w:noWrap/>
            <w:tcMar>
              <w:top w:w="0" w:type="dxa"/>
              <w:left w:w="108" w:type="dxa"/>
              <w:bottom w:w="0" w:type="dxa"/>
              <w:right w:w="108" w:type="dxa"/>
            </w:tcMar>
            <w:vAlign w:val="center"/>
          </w:tcPr>
          <w:p w14:paraId="7C4207CC">
            <w:pPr>
              <w:rPr>
                <w:rFonts w:asciiTheme="minorEastAsia" w:hAnsiTheme="minorEastAsia" w:eastAsiaTheme="minorEastAsia"/>
                <w:sz w:val="22"/>
                <w:szCs w:val="22"/>
              </w:rPr>
            </w:pPr>
            <w:r>
              <w:rPr>
                <w:rFonts w:hint="eastAsia" w:asciiTheme="minorEastAsia" w:hAnsiTheme="minorEastAsia" w:eastAsiaTheme="minorEastAsia"/>
                <w:sz w:val="22"/>
                <w:szCs w:val="22"/>
              </w:rPr>
              <w:t>扭曲性质</w:t>
            </w:r>
          </w:p>
        </w:tc>
        <w:tc>
          <w:tcPr>
            <w:tcW w:w="5135" w:type="dxa"/>
            <w:noWrap/>
            <w:tcMar>
              <w:top w:w="0" w:type="dxa"/>
              <w:left w:w="108" w:type="dxa"/>
              <w:bottom w:w="0" w:type="dxa"/>
              <w:right w:w="108" w:type="dxa"/>
            </w:tcMar>
          </w:tcPr>
          <w:p w14:paraId="0C321E24">
            <w:pPr>
              <w:rPr>
                <w:rFonts w:asciiTheme="minorEastAsia" w:hAnsiTheme="minorEastAsia" w:eastAsiaTheme="minorEastAsia"/>
                <w:sz w:val="22"/>
                <w:szCs w:val="22"/>
              </w:rPr>
            </w:pPr>
            <w:r>
              <w:rPr>
                <w:rFonts w:hint="eastAsia" w:asciiTheme="minorEastAsia" w:hAnsiTheme="minorEastAsia" w:eastAsiaTheme="minorEastAsia"/>
                <w:sz w:val="22"/>
                <w:szCs w:val="22"/>
              </w:rPr>
              <w:t>进行GB/T17554.1中描述的1000次扭曲循环测试后，卡应保持其功能并应不出现开裂</w:t>
            </w:r>
          </w:p>
        </w:tc>
      </w:tr>
      <w:tr w14:paraId="37DB3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762" w:type="dxa"/>
            <w:vMerge w:val="continue"/>
            <w:vAlign w:val="center"/>
          </w:tcPr>
          <w:p w14:paraId="148DED3A">
            <w:pPr>
              <w:widowControl/>
              <w:jc w:val="left"/>
              <w:rPr>
                <w:rFonts w:asciiTheme="minorEastAsia" w:hAnsiTheme="minorEastAsia" w:eastAsiaTheme="minorEastAsia"/>
                <w:sz w:val="22"/>
                <w:szCs w:val="22"/>
              </w:rPr>
            </w:pPr>
          </w:p>
        </w:tc>
        <w:tc>
          <w:tcPr>
            <w:tcW w:w="2332" w:type="dxa"/>
            <w:noWrap/>
            <w:tcMar>
              <w:top w:w="0" w:type="dxa"/>
              <w:left w:w="108" w:type="dxa"/>
              <w:bottom w:w="0" w:type="dxa"/>
              <w:right w:w="108" w:type="dxa"/>
            </w:tcMar>
            <w:vAlign w:val="center"/>
          </w:tcPr>
          <w:p w14:paraId="23D29454">
            <w:pPr>
              <w:rPr>
                <w:rFonts w:asciiTheme="minorEastAsia" w:hAnsiTheme="minorEastAsia" w:eastAsiaTheme="minorEastAsia"/>
                <w:sz w:val="22"/>
                <w:szCs w:val="22"/>
              </w:rPr>
            </w:pPr>
            <w:r>
              <w:rPr>
                <w:rFonts w:hint="eastAsia" w:asciiTheme="minorEastAsia" w:hAnsiTheme="minorEastAsia" w:eastAsiaTheme="minorEastAsia"/>
                <w:sz w:val="22"/>
                <w:szCs w:val="22"/>
              </w:rPr>
              <w:t>卡片抗化学侵蚀性能</w:t>
            </w:r>
          </w:p>
        </w:tc>
        <w:tc>
          <w:tcPr>
            <w:tcW w:w="5135" w:type="dxa"/>
            <w:noWrap/>
            <w:tcMar>
              <w:top w:w="0" w:type="dxa"/>
              <w:left w:w="108" w:type="dxa"/>
              <w:bottom w:w="0" w:type="dxa"/>
              <w:right w:w="108" w:type="dxa"/>
            </w:tcMar>
          </w:tcPr>
          <w:p w14:paraId="60910E37">
            <w:pPr>
              <w:rPr>
                <w:rFonts w:asciiTheme="minorEastAsia" w:hAnsiTheme="minorEastAsia" w:eastAsiaTheme="minorEastAsia"/>
                <w:sz w:val="22"/>
                <w:szCs w:val="22"/>
              </w:rPr>
            </w:pPr>
            <w:r>
              <w:rPr>
                <w:rFonts w:hint="eastAsia" w:asciiTheme="minorEastAsia" w:hAnsiTheme="minorEastAsia" w:eastAsiaTheme="minorEastAsia"/>
                <w:sz w:val="22"/>
                <w:szCs w:val="22"/>
              </w:rPr>
              <w:t>卡片在耐盐水检测、耐醋酸检测、耐碳酸钠检测、耐乙醇检测、耐糖水检测、耐乙二醇检测均在一分钟以上，耐人工汗碱检测、耐人工汗酸检测均在24小时以上后用蒸馏水冲洗，待干后进行读写测试。均无新错误出现，仍可正常使用。</w:t>
            </w:r>
          </w:p>
        </w:tc>
      </w:tr>
      <w:tr w14:paraId="76047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62" w:type="dxa"/>
            <w:noWrap/>
            <w:tcMar>
              <w:top w:w="0" w:type="dxa"/>
              <w:left w:w="108" w:type="dxa"/>
              <w:bottom w:w="0" w:type="dxa"/>
              <w:right w:w="108" w:type="dxa"/>
            </w:tcMar>
            <w:vAlign w:val="center"/>
          </w:tcPr>
          <w:p w14:paraId="70624CF9">
            <w:pPr>
              <w:jc w:val="center"/>
              <w:rPr>
                <w:rFonts w:asciiTheme="minorEastAsia" w:hAnsiTheme="minorEastAsia" w:eastAsiaTheme="minorEastAsia"/>
                <w:sz w:val="22"/>
                <w:szCs w:val="22"/>
              </w:rPr>
            </w:pPr>
            <w:r>
              <w:rPr>
                <w:rFonts w:hint="eastAsia" w:asciiTheme="minorEastAsia" w:hAnsiTheme="minorEastAsia" w:eastAsiaTheme="minorEastAsia"/>
                <w:sz w:val="22"/>
                <w:szCs w:val="22"/>
              </w:rPr>
              <w:t>8</w:t>
            </w:r>
          </w:p>
        </w:tc>
        <w:tc>
          <w:tcPr>
            <w:tcW w:w="7467" w:type="dxa"/>
            <w:gridSpan w:val="2"/>
            <w:noWrap/>
            <w:tcMar>
              <w:top w:w="0" w:type="dxa"/>
              <w:left w:w="108" w:type="dxa"/>
              <w:bottom w:w="0" w:type="dxa"/>
              <w:right w:w="108" w:type="dxa"/>
            </w:tcMar>
            <w:vAlign w:val="center"/>
          </w:tcPr>
          <w:p w14:paraId="062FE22C">
            <w:pPr>
              <w:rPr>
                <w:rFonts w:asciiTheme="minorEastAsia" w:hAnsiTheme="minorEastAsia" w:eastAsiaTheme="minorEastAsia"/>
                <w:sz w:val="22"/>
                <w:szCs w:val="22"/>
              </w:rPr>
            </w:pPr>
            <w:r>
              <w:rPr>
                <w:rFonts w:hint="eastAsia" w:asciiTheme="minorEastAsia" w:hAnsiTheme="minorEastAsia" w:eastAsiaTheme="minorEastAsia"/>
                <w:sz w:val="22"/>
                <w:szCs w:val="22"/>
              </w:rPr>
              <w:t>符合人民银行PBOC2018，并获得相关认证；符合EMV标准并获得相关认证。</w:t>
            </w:r>
          </w:p>
        </w:tc>
      </w:tr>
      <w:tr w14:paraId="1AA8C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62" w:type="dxa"/>
            <w:noWrap/>
            <w:tcMar>
              <w:top w:w="0" w:type="dxa"/>
              <w:left w:w="108" w:type="dxa"/>
              <w:bottom w:w="0" w:type="dxa"/>
              <w:right w:w="108" w:type="dxa"/>
            </w:tcMar>
            <w:vAlign w:val="center"/>
          </w:tcPr>
          <w:p w14:paraId="23C619BF">
            <w:pPr>
              <w:jc w:val="center"/>
              <w:rPr>
                <w:rFonts w:asciiTheme="minorEastAsia" w:hAnsiTheme="minorEastAsia" w:eastAsiaTheme="minorEastAsia"/>
                <w:sz w:val="22"/>
                <w:szCs w:val="22"/>
              </w:rPr>
            </w:pPr>
            <w:r>
              <w:rPr>
                <w:rFonts w:hint="eastAsia" w:asciiTheme="minorEastAsia" w:hAnsiTheme="minorEastAsia" w:eastAsiaTheme="minorEastAsia"/>
                <w:sz w:val="22"/>
                <w:szCs w:val="22"/>
              </w:rPr>
              <w:t>9</w:t>
            </w:r>
          </w:p>
        </w:tc>
        <w:tc>
          <w:tcPr>
            <w:tcW w:w="7467" w:type="dxa"/>
            <w:gridSpan w:val="2"/>
            <w:noWrap/>
            <w:tcMar>
              <w:top w:w="0" w:type="dxa"/>
              <w:left w:w="108" w:type="dxa"/>
              <w:bottom w:w="0" w:type="dxa"/>
              <w:right w:w="108" w:type="dxa"/>
            </w:tcMar>
            <w:vAlign w:val="center"/>
          </w:tcPr>
          <w:p w14:paraId="01D6708F">
            <w:pPr>
              <w:rPr>
                <w:rFonts w:asciiTheme="minorEastAsia" w:hAnsiTheme="minorEastAsia" w:eastAsiaTheme="minorEastAsia"/>
                <w:sz w:val="22"/>
                <w:szCs w:val="22"/>
              </w:rPr>
            </w:pPr>
            <w:r>
              <w:rPr>
                <w:rFonts w:hint="eastAsia" w:asciiTheme="minorEastAsia" w:hAnsiTheme="minorEastAsia" w:eastAsiaTheme="minorEastAsia"/>
                <w:sz w:val="22"/>
                <w:szCs w:val="22"/>
              </w:rPr>
              <w:t>支持符合ISO/IEC7816规范接触式接口界面和ISO/IEC14443规范的非接触式接口界面</w:t>
            </w:r>
          </w:p>
        </w:tc>
      </w:tr>
    </w:tbl>
    <w:p w14:paraId="2BCA87FD">
      <w:pPr>
        <w:spacing w:line="360" w:lineRule="auto"/>
        <w:ind w:firstLine="435"/>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上述</w:t>
      </w:r>
      <w:r>
        <w:rPr>
          <w:rFonts w:hint="eastAsia" w:asciiTheme="minorEastAsia" w:hAnsiTheme="minorEastAsia" w:eastAsiaTheme="minorEastAsia"/>
          <w:sz w:val="24"/>
        </w:rPr>
        <w:t>卡片（卡基）主要技术性能指标</w:t>
      </w:r>
      <w:r>
        <w:rPr>
          <w:rFonts w:hint="eastAsia" w:asciiTheme="minorEastAsia" w:hAnsiTheme="minorEastAsia" w:eastAsiaTheme="minorEastAsia"/>
          <w:sz w:val="24"/>
          <w:lang w:eastAsia="zh-CN"/>
        </w:rPr>
        <w:t>，</w:t>
      </w:r>
      <w:r>
        <w:rPr>
          <w:rFonts w:hint="eastAsia" w:asciiTheme="minorEastAsia" w:hAnsiTheme="minorEastAsia" w:eastAsiaTheme="minorEastAsia"/>
          <w:sz w:val="24"/>
          <w:lang w:val="en-US" w:eastAsia="zh-CN"/>
        </w:rPr>
        <w:t>不允许指标负偏离。</w:t>
      </w:r>
    </w:p>
    <w:p w14:paraId="4AEEBB38">
      <w:pPr>
        <w:spacing w:line="360" w:lineRule="auto"/>
        <w:ind w:firstLine="437"/>
        <w:outlineLvl w:val="1"/>
        <w:rPr>
          <w:rFonts w:ascii="宋体" w:hAnsi="宋体" w:eastAsia="宋体"/>
          <w:b/>
          <w:sz w:val="24"/>
          <w:szCs w:val="18"/>
        </w:rPr>
      </w:pPr>
      <w:bookmarkStart w:id="40" w:name="_Toc10710"/>
      <w:bookmarkStart w:id="41" w:name="_Toc6897"/>
      <w:r>
        <w:rPr>
          <w:rFonts w:hint="eastAsia" w:ascii="宋体" w:hAnsi="宋体" w:eastAsia="宋体"/>
          <w:b/>
          <w:bCs/>
          <w:sz w:val="24"/>
          <w:szCs w:val="18"/>
        </w:rPr>
        <w:t>五、样品</w:t>
      </w:r>
      <w:r>
        <w:rPr>
          <w:rFonts w:hint="eastAsia" w:ascii="宋体" w:hAnsi="宋体" w:eastAsia="宋体"/>
          <w:b/>
          <w:sz w:val="24"/>
          <w:szCs w:val="18"/>
        </w:rPr>
        <w:t>要求</w:t>
      </w:r>
      <w:bookmarkEnd w:id="40"/>
      <w:bookmarkEnd w:id="41"/>
    </w:p>
    <w:p w14:paraId="439129D0">
      <w:pPr>
        <w:spacing w:line="360" w:lineRule="auto"/>
        <w:ind w:firstLine="437"/>
        <w:outlineLvl w:val="1"/>
        <w:rPr>
          <w:rFonts w:ascii="宋体" w:hAnsi="宋体" w:eastAsia="宋体"/>
          <w:bCs/>
          <w:sz w:val="24"/>
          <w:szCs w:val="18"/>
        </w:rPr>
      </w:pPr>
      <w:r>
        <w:rPr>
          <w:rFonts w:hint="eastAsia" w:ascii="宋体" w:hAnsi="宋体" w:eastAsia="宋体"/>
          <w:bCs/>
          <w:sz w:val="24"/>
          <w:szCs w:val="18"/>
        </w:rPr>
        <w:t>无。</w:t>
      </w:r>
    </w:p>
    <w:p w14:paraId="32FDDB91">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br w:type="page"/>
      </w:r>
    </w:p>
    <w:p w14:paraId="4FDD1CB2">
      <w:pPr>
        <w:spacing w:line="360" w:lineRule="auto"/>
        <w:jc w:val="center"/>
        <w:outlineLvl w:val="0"/>
        <w:rPr>
          <w:rFonts w:asciiTheme="minorEastAsia" w:hAnsiTheme="minorEastAsia" w:eastAsiaTheme="minorEastAsia"/>
          <w:b/>
          <w:sz w:val="28"/>
        </w:rPr>
      </w:pPr>
      <w:bookmarkStart w:id="42" w:name="_Toc16417"/>
      <w:r>
        <w:rPr>
          <w:rFonts w:hint="eastAsia" w:asciiTheme="minorEastAsia" w:hAnsiTheme="minorEastAsia" w:eastAsiaTheme="minorEastAsia"/>
          <w:b/>
          <w:sz w:val="28"/>
        </w:rPr>
        <w:t>第四章  评标方法和标准（综合评分法）</w:t>
      </w:r>
      <w:bookmarkEnd w:id="42"/>
    </w:p>
    <w:p w14:paraId="70A2BC64">
      <w:pPr>
        <w:spacing w:line="360" w:lineRule="auto"/>
        <w:ind w:firstLine="437"/>
        <w:outlineLvl w:val="1"/>
        <w:rPr>
          <w:rFonts w:asciiTheme="minorEastAsia" w:hAnsiTheme="minorEastAsia" w:eastAsiaTheme="minorEastAsia"/>
          <w:b/>
          <w:sz w:val="24"/>
        </w:rPr>
      </w:pPr>
      <w:bookmarkStart w:id="43" w:name="_Toc11823"/>
      <w:bookmarkStart w:id="44" w:name="_Toc1246"/>
      <w:r>
        <w:rPr>
          <w:rFonts w:hint="eastAsia" w:asciiTheme="minorEastAsia" w:hAnsiTheme="minorEastAsia" w:eastAsiaTheme="minorEastAsia"/>
          <w:b/>
          <w:sz w:val="24"/>
        </w:rPr>
        <w:t>一、总则</w:t>
      </w:r>
      <w:bookmarkEnd w:id="43"/>
      <w:bookmarkEnd w:id="44"/>
    </w:p>
    <w:p w14:paraId="2E223F77">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本项目将按照招标文件第二章 投标人须知的相关要求</w:t>
      </w:r>
      <w:r>
        <w:rPr>
          <w:rFonts w:asciiTheme="minorEastAsia" w:hAnsiTheme="minorEastAsia" w:eastAsiaTheme="minorEastAsia"/>
          <w:sz w:val="24"/>
        </w:rPr>
        <w:t>及本章的规定评标。</w:t>
      </w:r>
    </w:p>
    <w:p w14:paraId="72E98AE0">
      <w:pPr>
        <w:spacing w:line="360" w:lineRule="auto"/>
        <w:ind w:firstLine="437"/>
        <w:outlineLvl w:val="1"/>
        <w:rPr>
          <w:rFonts w:asciiTheme="minorEastAsia" w:hAnsiTheme="minorEastAsia" w:eastAsiaTheme="minorEastAsia"/>
          <w:b/>
          <w:sz w:val="24"/>
        </w:rPr>
      </w:pPr>
      <w:bookmarkStart w:id="45" w:name="_Toc31871"/>
      <w:bookmarkStart w:id="46" w:name="_Toc13117"/>
      <w:r>
        <w:rPr>
          <w:rFonts w:hint="eastAsia" w:asciiTheme="minorEastAsia" w:hAnsiTheme="minorEastAsia" w:eastAsiaTheme="minorEastAsia"/>
          <w:b/>
          <w:sz w:val="24"/>
        </w:rPr>
        <w:t>二、评标方法</w:t>
      </w:r>
      <w:bookmarkEnd w:id="45"/>
      <w:bookmarkEnd w:id="46"/>
    </w:p>
    <w:p w14:paraId="04819AA1">
      <w:pPr>
        <w:spacing w:line="360" w:lineRule="auto"/>
        <w:ind w:firstLine="437"/>
        <w:outlineLvl w:val="2"/>
        <w:rPr>
          <w:rFonts w:asciiTheme="minorEastAsia" w:hAnsiTheme="minorEastAsia" w:eastAsiaTheme="minorEastAsia"/>
          <w:sz w:val="24"/>
        </w:rPr>
      </w:pPr>
      <w:r>
        <w:rPr>
          <w:rFonts w:hint="eastAsia" w:asciiTheme="minorEastAsia" w:hAnsiTheme="minorEastAsia" w:eastAsiaTheme="minorEastAsia"/>
          <w:sz w:val="24"/>
        </w:rPr>
        <w:t>2.1资格审查</w:t>
      </w:r>
    </w:p>
    <w:tbl>
      <w:tblPr>
        <w:tblStyle w:val="22"/>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651"/>
        <w:gridCol w:w="4561"/>
        <w:gridCol w:w="1884"/>
      </w:tblGrid>
      <w:tr w14:paraId="0F18D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7B15D1A6">
            <w:pPr>
              <w:adjustRightInd w:val="0"/>
              <w:snapToGrid w:val="0"/>
              <w:spacing w:line="360" w:lineRule="auto"/>
              <w:ind w:right="-10"/>
              <w:jc w:val="center"/>
              <w:rPr>
                <w:rFonts w:ascii="宋体" w:hAnsi="宋体" w:eastAsia="宋体"/>
                <w:sz w:val="24"/>
              </w:rPr>
            </w:pPr>
            <w:r>
              <w:rPr>
                <w:rFonts w:hint="eastAsia" w:ascii="宋体" w:hAnsi="宋体" w:eastAsia="宋体"/>
                <w:b/>
                <w:sz w:val="24"/>
                <w:szCs w:val="22"/>
              </w:rPr>
              <w:t>资格审查表</w:t>
            </w:r>
          </w:p>
        </w:tc>
      </w:tr>
      <w:tr w14:paraId="1D05D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tcBorders>
              <w:bottom w:val="single" w:color="auto" w:sz="4" w:space="0"/>
            </w:tcBorders>
            <w:vAlign w:val="center"/>
          </w:tcPr>
          <w:p w14:paraId="4645DDE7">
            <w:pPr>
              <w:adjustRightInd w:val="0"/>
              <w:snapToGrid w:val="0"/>
              <w:spacing w:line="360" w:lineRule="auto"/>
              <w:ind w:right="-10"/>
              <w:jc w:val="center"/>
              <w:rPr>
                <w:rFonts w:ascii="宋体" w:hAnsi="宋体" w:eastAsia="宋体"/>
                <w:sz w:val="24"/>
              </w:rPr>
            </w:pPr>
            <w:r>
              <w:rPr>
                <w:rFonts w:hint="eastAsia" w:ascii="宋体" w:hAnsi="宋体" w:eastAsia="宋体"/>
                <w:sz w:val="24"/>
              </w:rPr>
              <w:t>序号</w:t>
            </w:r>
          </w:p>
        </w:tc>
        <w:tc>
          <w:tcPr>
            <w:tcW w:w="942" w:type="pct"/>
            <w:tcBorders>
              <w:bottom w:val="single" w:color="auto" w:sz="4" w:space="0"/>
            </w:tcBorders>
            <w:vAlign w:val="center"/>
          </w:tcPr>
          <w:p w14:paraId="015EB0CD">
            <w:pPr>
              <w:pStyle w:val="31"/>
              <w:pBdr>
                <w:bottom w:val="none" w:color="auto" w:sz="0" w:space="0"/>
              </w:pBdr>
              <w:tabs>
                <w:tab w:val="clear" w:pos="4153"/>
                <w:tab w:val="clear" w:pos="8306"/>
              </w:tabs>
              <w:snapToGrid w:val="0"/>
              <w:spacing w:line="360" w:lineRule="auto"/>
              <w:ind w:right="-10"/>
              <w:textAlignment w:val="auto"/>
              <w:rPr>
                <w:rFonts w:ascii="宋体" w:hAnsi="宋体" w:eastAsia="宋体"/>
                <w:kern w:val="2"/>
                <w:szCs w:val="24"/>
              </w:rPr>
            </w:pPr>
            <w:r>
              <w:rPr>
                <w:rFonts w:hint="eastAsia" w:ascii="宋体" w:hAnsi="宋体" w:eastAsia="宋体"/>
                <w:kern w:val="2"/>
                <w:szCs w:val="24"/>
              </w:rPr>
              <w:t>审查因素</w:t>
            </w:r>
          </w:p>
        </w:tc>
        <w:tc>
          <w:tcPr>
            <w:tcW w:w="2603" w:type="pct"/>
            <w:tcBorders>
              <w:bottom w:val="single" w:color="auto" w:sz="4" w:space="0"/>
            </w:tcBorders>
            <w:vAlign w:val="center"/>
          </w:tcPr>
          <w:p w14:paraId="28B15FB2">
            <w:pPr>
              <w:adjustRightInd w:val="0"/>
              <w:snapToGrid w:val="0"/>
              <w:spacing w:line="360" w:lineRule="auto"/>
              <w:ind w:right="-10"/>
              <w:jc w:val="center"/>
              <w:rPr>
                <w:rFonts w:ascii="宋体" w:hAnsi="宋体" w:eastAsia="宋体"/>
                <w:sz w:val="24"/>
              </w:rPr>
            </w:pPr>
            <w:r>
              <w:rPr>
                <w:rFonts w:hint="eastAsia" w:ascii="宋体" w:hAnsi="宋体" w:eastAsia="宋体"/>
                <w:sz w:val="24"/>
              </w:rPr>
              <w:t>审查内容</w:t>
            </w:r>
          </w:p>
        </w:tc>
        <w:tc>
          <w:tcPr>
            <w:tcW w:w="1075" w:type="pct"/>
            <w:tcBorders>
              <w:bottom w:val="single" w:color="auto" w:sz="4" w:space="0"/>
            </w:tcBorders>
            <w:vAlign w:val="center"/>
          </w:tcPr>
          <w:p w14:paraId="37B1047C">
            <w:pPr>
              <w:adjustRightInd w:val="0"/>
              <w:snapToGrid w:val="0"/>
              <w:spacing w:line="360" w:lineRule="auto"/>
              <w:ind w:right="-10"/>
              <w:jc w:val="center"/>
              <w:rPr>
                <w:rFonts w:ascii="宋体" w:hAnsi="宋体" w:eastAsia="宋体"/>
                <w:sz w:val="24"/>
              </w:rPr>
            </w:pPr>
            <w:r>
              <w:rPr>
                <w:rFonts w:hint="eastAsia" w:ascii="宋体" w:hAnsi="宋体" w:eastAsia="宋体"/>
                <w:sz w:val="24"/>
              </w:rPr>
              <w:t>格式要求</w:t>
            </w:r>
          </w:p>
        </w:tc>
      </w:tr>
      <w:tr w14:paraId="3AC18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80" w:type="pct"/>
            <w:tcBorders>
              <w:bottom w:val="single" w:color="auto" w:sz="4" w:space="0"/>
            </w:tcBorders>
            <w:vAlign w:val="center"/>
          </w:tcPr>
          <w:p w14:paraId="0563C5AD">
            <w:pPr>
              <w:adjustRightInd w:val="0"/>
              <w:snapToGrid w:val="0"/>
              <w:spacing w:line="360" w:lineRule="auto"/>
              <w:ind w:right="-10"/>
              <w:jc w:val="center"/>
              <w:rPr>
                <w:rFonts w:ascii="宋体" w:hAnsi="宋体" w:eastAsia="宋体"/>
                <w:sz w:val="24"/>
              </w:rPr>
            </w:pPr>
            <w:r>
              <w:rPr>
                <w:rFonts w:hint="eastAsia" w:ascii="宋体" w:hAnsi="宋体" w:eastAsia="宋体"/>
                <w:sz w:val="24"/>
              </w:rPr>
              <w:t>1</w:t>
            </w:r>
          </w:p>
        </w:tc>
        <w:tc>
          <w:tcPr>
            <w:tcW w:w="942" w:type="pct"/>
            <w:tcBorders>
              <w:bottom w:val="single" w:color="auto" w:sz="4" w:space="0"/>
            </w:tcBorders>
            <w:vAlign w:val="center"/>
          </w:tcPr>
          <w:p w14:paraId="5FA323AF">
            <w:pPr>
              <w:spacing w:after="50" w:line="360" w:lineRule="auto"/>
              <w:ind w:right="-10"/>
              <w:jc w:val="center"/>
              <w:rPr>
                <w:rFonts w:ascii="宋体" w:hAnsi="宋体" w:eastAsia="宋体"/>
                <w:sz w:val="24"/>
                <w:szCs w:val="28"/>
              </w:rPr>
            </w:pPr>
            <w:r>
              <w:rPr>
                <w:rFonts w:ascii="宋体" w:hAnsi="宋体" w:eastAsia="宋体" w:cs="宋体"/>
                <w:spacing w:val="9"/>
                <w:sz w:val="24"/>
                <w:szCs w:val="24"/>
              </w:rPr>
              <w:t>营业执照等证明</w:t>
            </w:r>
            <w:r>
              <w:rPr>
                <w:rFonts w:ascii="宋体" w:hAnsi="宋体" w:eastAsia="宋体" w:cs="宋体"/>
                <w:spacing w:val="-3"/>
                <w:sz w:val="24"/>
                <w:szCs w:val="24"/>
              </w:rPr>
              <w:t>文件</w:t>
            </w:r>
          </w:p>
        </w:tc>
        <w:tc>
          <w:tcPr>
            <w:tcW w:w="2603" w:type="pct"/>
            <w:tcBorders>
              <w:bottom w:val="single" w:color="auto" w:sz="4" w:space="0"/>
            </w:tcBorders>
            <w:vAlign w:val="center"/>
          </w:tcPr>
          <w:p w14:paraId="109CE65D">
            <w:pPr>
              <w:spacing w:after="50" w:line="360" w:lineRule="auto"/>
              <w:ind w:right="-10"/>
              <w:jc w:val="left"/>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投标人为企业（包括合伙企业）的，应</w:t>
            </w:r>
            <w:r>
              <w:rPr>
                <w:rFonts w:hint="eastAsia" w:ascii="宋体" w:hAnsi="宋体" w:eastAsia="宋体" w:cs="宋体"/>
                <w:sz w:val="24"/>
                <w:szCs w:val="24"/>
              </w:rPr>
              <w:t>提</w:t>
            </w:r>
            <w:r>
              <w:rPr>
                <w:rFonts w:ascii="宋体" w:hAnsi="宋体" w:eastAsia="宋体" w:cs="宋体"/>
                <w:sz w:val="24"/>
                <w:szCs w:val="24"/>
              </w:rPr>
              <w:t>供有效的营业执照；</w:t>
            </w:r>
          </w:p>
          <w:p w14:paraId="6E3E45F0">
            <w:pPr>
              <w:spacing w:after="50" w:line="360" w:lineRule="auto"/>
              <w:ind w:right="-10"/>
              <w:jc w:val="left"/>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投标人为事业单位的，应</w:t>
            </w:r>
            <w:r>
              <w:rPr>
                <w:rFonts w:hint="eastAsia" w:ascii="宋体" w:hAnsi="宋体" w:eastAsia="宋体" w:cs="宋体"/>
                <w:sz w:val="24"/>
                <w:szCs w:val="24"/>
              </w:rPr>
              <w:t>提</w:t>
            </w:r>
            <w:r>
              <w:rPr>
                <w:rFonts w:ascii="宋体" w:hAnsi="宋体" w:eastAsia="宋体" w:cs="宋体"/>
                <w:sz w:val="24"/>
                <w:szCs w:val="24"/>
              </w:rPr>
              <w:t>供有效的事业单位法人证书；</w:t>
            </w:r>
          </w:p>
          <w:p w14:paraId="660E0551">
            <w:pPr>
              <w:spacing w:after="50" w:line="360" w:lineRule="auto"/>
              <w:ind w:right="-10"/>
              <w:jc w:val="left"/>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投标人是非企业机构的，应</w:t>
            </w:r>
            <w:r>
              <w:rPr>
                <w:rFonts w:hint="eastAsia" w:ascii="宋体" w:hAnsi="宋体" w:eastAsia="宋体" w:cs="宋体"/>
                <w:sz w:val="24"/>
                <w:szCs w:val="24"/>
              </w:rPr>
              <w:t>提</w:t>
            </w:r>
            <w:r>
              <w:rPr>
                <w:rFonts w:ascii="宋体" w:hAnsi="宋体" w:eastAsia="宋体" w:cs="宋体"/>
                <w:sz w:val="24"/>
                <w:szCs w:val="24"/>
              </w:rPr>
              <w:t>供有效的执业许可证</w:t>
            </w:r>
            <w:r>
              <w:rPr>
                <w:rFonts w:hint="eastAsia" w:ascii="宋体" w:hAnsi="宋体" w:eastAsia="宋体" w:cs="宋体"/>
                <w:sz w:val="24"/>
                <w:szCs w:val="24"/>
              </w:rPr>
              <w:t>或</w:t>
            </w:r>
            <w:r>
              <w:rPr>
                <w:rFonts w:ascii="宋体" w:hAnsi="宋体" w:eastAsia="宋体" w:cs="宋体"/>
                <w:sz w:val="24"/>
                <w:szCs w:val="24"/>
              </w:rPr>
              <w:t>登记证书等证明文件；</w:t>
            </w:r>
          </w:p>
          <w:p w14:paraId="42EEDB74">
            <w:pPr>
              <w:spacing w:after="50" w:line="360" w:lineRule="auto"/>
              <w:ind w:right="-10"/>
              <w:jc w:val="left"/>
              <w:rPr>
                <w:rFonts w:ascii="宋体" w:hAnsi="宋体" w:eastAsia="宋体"/>
                <w:sz w:val="24"/>
                <w:szCs w:val="28"/>
              </w:rPr>
            </w:pPr>
            <w:r>
              <w:rPr>
                <w:rFonts w:hint="eastAsia" w:ascii="宋体" w:hAnsi="宋体" w:eastAsia="宋体" w:cs="宋体"/>
                <w:sz w:val="24"/>
                <w:szCs w:val="24"/>
              </w:rPr>
              <w:t>（4）</w:t>
            </w:r>
            <w:r>
              <w:rPr>
                <w:rFonts w:ascii="宋体" w:hAnsi="宋体" w:eastAsia="宋体" w:cs="宋体"/>
                <w:sz w:val="24"/>
                <w:szCs w:val="24"/>
              </w:rPr>
              <w:t>投标人是个体工商户的，应</w:t>
            </w:r>
            <w:r>
              <w:rPr>
                <w:rFonts w:hint="eastAsia" w:ascii="宋体" w:hAnsi="宋体" w:eastAsia="宋体" w:cs="宋体"/>
                <w:sz w:val="24"/>
                <w:szCs w:val="24"/>
              </w:rPr>
              <w:t>提</w:t>
            </w:r>
            <w:r>
              <w:rPr>
                <w:rFonts w:ascii="宋体" w:hAnsi="宋体" w:eastAsia="宋体" w:cs="宋体"/>
                <w:sz w:val="24"/>
                <w:szCs w:val="24"/>
              </w:rPr>
              <w:t>供有效的个体工商户营业执照；</w:t>
            </w:r>
          </w:p>
        </w:tc>
        <w:tc>
          <w:tcPr>
            <w:tcW w:w="1075" w:type="pct"/>
            <w:vAlign w:val="center"/>
          </w:tcPr>
          <w:p w14:paraId="6065C19D">
            <w:pPr>
              <w:spacing w:line="360" w:lineRule="auto"/>
              <w:jc w:val="left"/>
              <w:rPr>
                <w:rFonts w:ascii="宋体" w:hAnsi="宋体" w:eastAsia="宋体"/>
                <w:sz w:val="24"/>
              </w:rPr>
            </w:pPr>
            <w:r>
              <w:rPr>
                <w:rFonts w:hint="eastAsia" w:ascii="宋体" w:hAnsi="宋体" w:eastAsia="宋体" w:cs="宋体"/>
                <w:sz w:val="24"/>
                <w:szCs w:val="24"/>
              </w:rPr>
              <w:t>提供材料复印件，应完整的体现出材料全部内容。</w:t>
            </w:r>
          </w:p>
        </w:tc>
      </w:tr>
      <w:tr w14:paraId="29F4F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80" w:type="pct"/>
            <w:tcBorders>
              <w:bottom w:val="single" w:color="auto" w:sz="4" w:space="0"/>
            </w:tcBorders>
            <w:vAlign w:val="center"/>
          </w:tcPr>
          <w:p w14:paraId="2C7F869E">
            <w:pPr>
              <w:adjustRightInd w:val="0"/>
              <w:snapToGrid w:val="0"/>
              <w:spacing w:line="360" w:lineRule="auto"/>
              <w:ind w:right="-10"/>
              <w:jc w:val="center"/>
              <w:rPr>
                <w:rFonts w:ascii="宋体" w:hAnsi="宋体" w:eastAsia="宋体"/>
                <w:sz w:val="24"/>
              </w:rPr>
            </w:pPr>
            <w:r>
              <w:rPr>
                <w:rFonts w:hint="eastAsia" w:ascii="宋体" w:hAnsi="宋体" w:eastAsia="宋体"/>
                <w:sz w:val="24"/>
              </w:rPr>
              <w:t>2</w:t>
            </w:r>
          </w:p>
        </w:tc>
        <w:tc>
          <w:tcPr>
            <w:tcW w:w="942" w:type="pct"/>
            <w:tcBorders>
              <w:bottom w:val="single" w:color="auto" w:sz="4" w:space="0"/>
            </w:tcBorders>
            <w:vAlign w:val="center"/>
          </w:tcPr>
          <w:p w14:paraId="335C2128">
            <w:pPr>
              <w:spacing w:after="50" w:line="360" w:lineRule="auto"/>
              <w:ind w:right="-10"/>
              <w:jc w:val="center"/>
              <w:rPr>
                <w:rFonts w:ascii="宋体" w:hAnsi="宋体" w:eastAsia="宋体"/>
                <w:sz w:val="24"/>
                <w:szCs w:val="28"/>
              </w:rPr>
            </w:pPr>
            <w:r>
              <w:rPr>
                <w:rFonts w:hint="eastAsia" w:ascii="宋体" w:hAnsi="宋体" w:eastAsia="宋体"/>
                <w:sz w:val="24"/>
                <w:szCs w:val="18"/>
              </w:rPr>
              <w:t>投标人资格声明书</w:t>
            </w:r>
          </w:p>
        </w:tc>
        <w:tc>
          <w:tcPr>
            <w:tcW w:w="2603" w:type="pct"/>
            <w:tcBorders>
              <w:bottom w:val="single" w:color="auto" w:sz="4" w:space="0"/>
            </w:tcBorders>
            <w:vAlign w:val="center"/>
          </w:tcPr>
          <w:p w14:paraId="7070D97D">
            <w:pPr>
              <w:spacing w:after="50" w:line="360" w:lineRule="auto"/>
              <w:ind w:right="-10"/>
              <w:jc w:val="left"/>
              <w:rPr>
                <w:rFonts w:ascii="宋体" w:hAnsi="宋体" w:eastAsia="宋体"/>
                <w:sz w:val="24"/>
                <w:szCs w:val="28"/>
              </w:rPr>
            </w:pPr>
            <w:r>
              <w:rPr>
                <w:rFonts w:hint="eastAsia" w:ascii="宋体" w:hAnsi="宋体" w:eastAsia="宋体" w:cs="宋体"/>
                <w:sz w:val="24"/>
                <w:szCs w:val="24"/>
              </w:rPr>
              <w:t>提</w:t>
            </w:r>
            <w:r>
              <w:rPr>
                <w:rFonts w:ascii="宋体" w:hAnsi="宋体" w:eastAsia="宋体" w:cs="宋体"/>
                <w:sz w:val="24"/>
                <w:szCs w:val="24"/>
              </w:rPr>
              <w:t>供符合招标文件要求的《投标人资格声明书》</w:t>
            </w:r>
            <w:r>
              <w:rPr>
                <w:rFonts w:hint="eastAsia" w:ascii="宋体" w:hAnsi="宋体" w:eastAsia="宋体" w:cs="宋体"/>
                <w:sz w:val="24"/>
                <w:szCs w:val="24"/>
              </w:rPr>
              <w:t>。</w:t>
            </w:r>
          </w:p>
        </w:tc>
        <w:tc>
          <w:tcPr>
            <w:tcW w:w="1075" w:type="pct"/>
            <w:vAlign w:val="center"/>
          </w:tcPr>
          <w:p w14:paraId="34548812">
            <w:pPr>
              <w:spacing w:line="360" w:lineRule="auto"/>
              <w:jc w:val="left"/>
              <w:rPr>
                <w:rFonts w:ascii="宋体" w:hAnsi="宋体" w:eastAsia="宋体" w:cs="宋体"/>
                <w:sz w:val="24"/>
                <w:szCs w:val="24"/>
              </w:rPr>
            </w:pPr>
            <w:r>
              <w:rPr>
                <w:rFonts w:hint="eastAsia" w:ascii="宋体" w:hAnsi="宋体" w:eastAsia="宋体"/>
                <w:sz w:val="24"/>
              </w:rPr>
              <w:t>详见第六章投标文件格式。</w:t>
            </w:r>
          </w:p>
        </w:tc>
      </w:tr>
      <w:tr w14:paraId="34542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tcBorders>
              <w:bottom w:val="single" w:color="auto" w:sz="4" w:space="0"/>
            </w:tcBorders>
            <w:vAlign w:val="center"/>
          </w:tcPr>
          <w:p w14:paraId="35C8B97B">
            <w:pPr>
              <w:adjustRightInd w:val="0"/>
              <w:snapToGrid w:val="0"/>
              <w:spacing w:line="360" w:lineRule="auto"/>
              <w:ind w:right="-10"/>
              <w:jc w:val="center"/>
              <w:rPr>
                <w:rFonts w:ascii="宋体" w:hAnsi="宋体" w:eastAsia="宋体"/>
                <w:sz w:val="24"/>
              </w:rPr>
            </w:pPr>
            <w:r>
              <w:rPr>
                <w:rFonts w:hint="eastAsia" w:ascii="宋体" w:hAnsi="宋体" w:eastAsia="宋体"/>
                <w:sz w:val="24"/>
              </w:rPr>
              <w:t>3</w:t>
            </w:r>
          </w:p>
        </w:tc>
        <w:tc>
          <w:tcPr>
            <w:tcW w:w="942" w:type="pct"/>
            <w:tcBorders>
              <w:bottom w:val="single" w:color="auto" w:sz="4" w:space="0"/>
            </w:tcBorders>
            <w:vAlign w:val="center"/>
          </w:tcPr>
          <w:p w14:paraId="70806970">
            <w:pPr>
              <w:spacing w:after="50" w:line="360" w:lineRule="auto"/>
              <w:ind w:right="-10"/>
              <w:jc w:val="center"/>
              <w:rPr>
                <w:rFonts w:ascii="宋体" w:hAnsi="宋体" w:eastAsia="宋体"/>
                <w:sz w:val="24"/>
                <w:szCs w:val="28"/>
              </w:rPr>
            </w:pPr>
            <w:r>
              <w:rPr>
                <w:rFonts w:hint="eastAsia" w:ascii="宋体" w:hAnsi="宋体" w:eastAsia="宋体" w:cs="宋体"/>
                <w:sz w:val="24"/>
                <w:szCs w:val="24"/>
              </w:rPr>
              <w:t>投标人信用记录</w:t>
            </w:r>
          </w:p>
        </w:tc>
        <w:tc>
          <w:tcPr>
            <w:tcW w:w="2603" w:type="pct"/>
            <w:tcBorders>
              <w:bottom w:val="single" w:color="auto" w:sz="4" w:space="0"/>
            </w:tcBorders>
            <w:vAlign w:val="center"/>
          </w:tcPr>
          <w:p w14:paraId="0959F204">
            <w:pPr>
              <w:spacing w:after="50" w:line="360" w:lineRule="auto"/>
              <w:ind w:right="-10"/>
              <w:jc w:val="left"/>
            </w:pPr>
            <w:r>
              <w:rPr>
                <w:rFonts w:hint="eastAsia" w:ascii="宋体" w:hAnsi="宋体" w:eastAsia="宋体" w:cs="宋体"/>
                <w:sz w:val="24"/>
                <w:szCs w:val="24"/>
                <w:lang w:val="zh-CN"/>
              </w:rPr>
              <w:t>投标人不得存在投标人须知正文第1</w:t>
            </w:r>
            <w:r>
              <w:rPr>
                <w:rFonts w:hint="eastAsia" w:ascii="宋体" w:hAnsi="宋体" w:eastAsia="宋体" w:cs="宋体"/>
                <w:sz w:val="24"/>
                <w:szCs w:val="24"/>
              </w:rPr>
              <w:t>4</w:t>
            </w:r>
            <w:r>
              <w:rPr>
                <w:rFonts w:hint="eastAsia" w:ascii="宋体" w:hAnsi="宋体" w:eastAsia="宋体" w:cs="宋体"/>
                <w:sz w:val="24"/>
                <w:szCs w:val="24"/>
                <w:lang w:val="zh-CN"/>
              </w:rPr>
              <w:t>.2</w:t>
            </w:r>
            <w:r>
              <w:rPr>
                <w:rFonts w:hint="eastAsia" w:ascii="宋体" w:hAnsi="宋体" w:eastAsia="宋体" w:cs="宋体"/>
                <w:sz w:val="24"/>
                <w:szCs w:val="24"/>
              </w:rPr>
              <w:t>条中</w:t>
            </w:r>
            <w:r>
              <w:rPr>
                <w:rFonts w:hint="eastAsia" w:ascii="宋体" w:hAnsi="宋体" w:eastAsia="宋体"/>
                <w:sz w:val="24"/>
                <w:szCs w:val="28"/>
              </w:rPr>
              <w:t>的</w:t>
            </w:r>
            <w:r>
              <w:rPr>
                <w:rFonts w:hint="eastAsia" w:ascii="宋体" w:hAnsi="宋体" w:eastAsia="宋体"/>
                <w:sz w:val="24"/>
                <w:szCs w:val="18"/>
              </w:rPr>
              <w:t>不良信用记录情形</w:t>
            </w:r>
          </w:p>
        </w:tc>
        <w:tc>
          <w:tcPr>
            <w:tcW w:w="1075" w:type="pct"/>
            <w:tcBorders>
              <w:bottom w:val="single" w:color="auto" w:sz="4" w:space="0"/>
            </w:tcBorders>
            <w:vAlign w:val="center"/>
          </w:tcPr>
          <w:p w14:paraId="5AA62E89">
            <w:pPr>
              <w:spacing w:line="360" w:lineRule="auto"/>
              <w:jc w:val="left"/>
            </w:pPr>
            <w:r>
              <w:rPr>
                <w:rFonts w:hint="eastAsia" w:ascii="宋体" w:hAnsi="宋体" w:eastAsia="宋体" w:cs="宋体"/>
                <w:sz w:val="24"/>
                <w:szCs w:val="24"/>
              </w:rPr>
              <w:t>无须投标人提供，由采购人查询。</w:t>
            </w:r>
          </w:p>
        </w:tc>
      </w:tr>
      <w:tr w14:paraId="6B449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vAlign w:val="center"/>
          </w:tcPr>
          <w:p w14:paraId="1BA70FFD">
            <w:pPr>
              <w:adjustRightInd w:val="0"/>
              <w:snapToGrid w:val="0"/>
              <w:spacing w:line="360" w:lineRule="auto"/>
              <w:ind w:right="-10"/>
              <w:jc w:val="center"/>
              <w:rPr>
                <w:rFonts w:ascii="宋体" w:hAnsi="宋体" w:eastAsia="宋体"/>
                <w:sz w:val="24"/>
              </w:rPr>
            </w:pPr>
            <w:r>
              <w:rPr>
                <w:rFonts w:ascii="宋体" w:hAnsi="宋体" w:eastAsia="宋体"/>
                <w:sz w:val="24"/>
              </w:rPr>
              <w:t>4</w:t>
            </w:r>
          </w:p>
        </w:tc>
        <w:tc>
          <w:tcPr>
            <w:tcW w:w="942" w:type="pct"/>
            <w:vAlign w:val="center"/>
          </w:tcPr>
          <w:p w14:paraId="731D2789">
            <w:pPr>
              <w:spacing w:after="50" w:line="360" w:lineRule="auto"/>
              <w:ind w:right="-10"/>
              <w:rPr>
                <w:rFonts w:ascii="宋体" w:hAnsi="宋体" w:eastAsia="宋体" w:cs="宋体"/>
                <w:spacing w:val="10"/>
                <w:sz w:val="24"/>
                <w:szCs w:val="24"/>
              </w:rPr>
            </w:pPr>
            <w:r>
              <w:rPr>
                <w:rFonts w:ascii="宋体" w:hAnsi="宋体" w:eastAsia="宋体" w:cs="宋体"/>
                <w:spacing w:val="10"/>
                <w:sz w:val="24"/>
                <w:szCs w:val="24"/>
              </w:rPr>
              <w:t>其他特定资格要求</w:t>
            </w:r>
          </w:p>
        </w:tc>
        <w:tc>
          <w:tcPr>
            <w:tcW w:w="2603" w:type="pct"/>
            <w:vAlign w:val="center"/>
          </w:tcPr>
          <w:p w14:paraId="4082AFAD">
            <w:pPr>
              <w:spacing w:after="50" w:line="360" w:lineRule="auto"/>
              <w:ind w:right="-10"/>
              <w:rPr>
                <w:rFonts w:ascii="宋体" w:hAnsi="宋体" w:eastAsia="宋体" w:cs="宋体"/>
                <w:spacing w:val="10"/>
                <w:sz w:val="24"/>
                <w:szCs w:val="24"/>
              </w:rPr>
            </w:pPr>
            <w:r>
              <w:rPr>
                <w:rFonts w:ascii="宋体" w:hAnsi="宋体" w:eastAsia="宋体" w:cs="宋体"/>
                <w:spacing w:val="10"/>
                <w:sz w:val="24"/>
                <w:szCs w:val="24"/>
              </w:rPr>
              <w:t>见第一章《招标公告》</w:t>
            </w:r>
          </w:p>
        </w:tc>
        <w:tc>
          <w:tcPr>
            <w:tcW w:w="1075" w:type="pct"/>
            <w:vAlign w:val="center"/>
          </w:tcPr>
          <w:p w14:paraId="709A51E4">
            <w:pPr>
              <w:spacing w:after="50" w:line="360" w:lineRule="auto"/>
              <w:ind w:right="-10"/>
              <w:rPr>
                <w:rFonts w:ascii="宋体" w:hAnsi="宋体" w:eastAsia="宋体" w:cs="宋体"/>
                <w:spacing w:val="10"/>
                <w:sz w:val="24"/>
                <w:szCs w:val="24"/>
              </w:rPr>
            </w:pPr>
            <w:r>
              <w:rPr>
                <w:rFonts w:hint="eastAsia" w:ascii="宋体" w:hAnsi="宋体" w:eastAsia="宋体" w:cs="宋体"/>
                <w:sz w:val="24"/>
                <w:szCs w:val="24"/>
              </w:rPr>
              <w:t>提供材料复印件，应完整的体现出材料全部内容。</w:t>
            </w:r>
          </w:p>
        </w:tc>
      </w:tr>
    </w:tbl>
    <w:p w14:paraId="40F0E395">
      <w:pPr>
        <w:spacing w:line="360" w:lineRule="auto"/>
        <w:ind w:firstLine="435"/>
        <w:rPr>
          <w:rFonts w:asciiTheme="minorEastAsia" w:hAnsiTheme="minorEastAsia" w:eastAsiaTheme="minorEastAsia"/>
          <w:sz w:val="24"/>
        </w:rPr>
      </w:pPr>
      <w:r>
        <w:rPr>
          <w:rFonts w:hint="eastAsia" w:ascii="宋体" w:hAnsi="宋体" w:eastAsia="宋体"/>
          <w:b/>
          <w:bCs/>
          <w:sz w:val="24"/>
        </w:rPr>
        <w:t>资格审查指标通过标准：</w:t>
      </w:r>
      <w:r>
        <w:rPr>
          <w:rFonts w:hint="eastAsia" w:ascii="宋体" w:hAnsi="宋体" w:eastAsia="宋体"/>
          <w:sz w:val="24"/>
        </w:rPr>
        <w:t>投标人必须通过资格审查表中的全部评审指标。</w:t>
      </w:r>
    </w:p>
    <w:p w14:paraId="7457A6C3">
      <w:pPr>
        <w:spacing w:line="360" w:lineRule="auto"/>
        <w:ind w:firstLine="437"/>
        <w:outlineLvl w:val="2"/>
        <w:rPr>
          <w:rFonts w:asciiTheme="minorEastAsia" w:hAnsiTheme="minorEastAsia" w:eastAsiaTheme="minorEastAsia"/>
          <w:sz w:val="24"/>
        </w:rPr>
      </w:pPr>
      <w:r>
        <w:rPr>
          <w:rFonts w:hint="eastAsia" w:asciiTheme="minorEastAsia" w:hAnsiTheme="minorEastAsia" w:eastAsiaTheme="minorEastAsia"/>
          <w:sz w:val="24"/>
        </w:rPr>
        <w:t>2.2符合性审查</w:t>
      </w:r>
    </w:p>
    <w:p w14:paraId="61A58CA9">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评标委员会对通过资格审查的投标人的投标文件进行符合性审查，以确定其是否满足招标文件的实质性要求。符合性审查表如下：</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117"/>
        <w:gridCol w:w="3128"/>
        <w:gridCol w:w="2511"/>
      </w:tblGrid>
      <w:tr w14:paraId="7C5A7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2712191F">
            <w:pPr>
              <w:adjustRightInd w:val="0"/>
              <w:snapToGrid w:val="0"/>
              <w:spacing w:line="360" w:lineRule="auto"/>
              <w:ind w:right="-10"/>
              <w:jc w:val="center"/>
              <w:rPr>
                <w:rFonts w:ascii="宋体" w:hAnsi="宋体" w:eastAsia="宋体"/>
                <w:b/>
                <w:bCs/>
                <w:sz w:val="24"/>
              </w:rPr>
            </w:pPr>
            <w:r>
              <w:rPr>
                <w:rFonts w:hint="eastAsia" w:ascii="宋体" w:hAnsi="宋体" w:eastAsia="宋体"/>
                <w:b/>
                <w:bCs/>
                <w:sz w:val="24"/>
              </w:rPr>
              <w:t>符合性审查表</w:t>
            </w:r>
          </w:p>
        </w:tc>
      </w:tr>
      <w:tr w14:paraId="30BE2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50" w:type="pct"/>
            <w:tcBorders>
              <w:bottom w:val="single" w:color="auto" w:sz="4" w:space="0"/>
            </w:tcBorders>
            <w:vAlign w:val="center"/>
          </w:tcPr>
          <w:p w14:paraId="35E2C9CE">
            <w:pPr>
              <w:adjustRightInd w:val="0"/>
              <w:snapToGrid w:val="0"/>
              <w:spacing w:line="360" w:lineRule="auto"/>
              <w:ind w:right="-10"/>
              <w:jc w:val="center"/>
              <w:rPr>
                <w:rFonts w:ascii="宋体" w:hAnsi="宋体" w:eastAsia="宋体"/>
                <w:sz w:val="24"/>
              </w:rPr>
            </w:pPr>
            <w:r>
              <w:rPr>
                <w:rFonts w:hint="eastAsia" w:ascii="宋体" w:hAnsi="宋体" w:eastAsia="宋体"/>
                <w:sz w:val="24"/>
              </w:rPr>
              <w:t>序号</w:t>
            </w:r>
          </w:p>
        </w:tc>
        <w:tc>
          <w:tcPr>
            <w:tcW w:w="1242" w:type="pct"/>
            <w:tcBorders>
              <w:bottom w:val="single" w:color="auto" w:sz="4" w:space="0"/>
            </w:tcBorders>
            <w:vAlign w:val="center"/>
          </w:tcPr>
          <w:p w14:paraId="5864B4D5">
            <w:pPr>
              <w:pStyle w:val="31"/>
              <w:pBdr>
                <w:bottom w:val="none" w:color="auto" w:sz="0" w:space="0"/>
              </w:pBdr>
              <w:tabs>
                <w:tab w:val="clear" w:pos="4153"/>
                <w:tab w:val="clear" w:pos="8306"/>
              </w:tabs>
              <w:snapToGrid w:val="0"/>
              <w:spacing w:line="360" w:lineRule="auto"/>
              <w:ind w:right="-10"/>
              <w:textAlignment w:val="auto"/>
              <w:rPr>
                <w:rFonts w:ascii="宋体" w:hAnsi="宋体" w:eastAsia="宋体"/>
                <w:kern w:val="2"/>
              </w:rPr>
            </w:pPr>
            <w:r>
              <w:rPr>
                <w:rFonts w:hint="eastAsia" w:ascii="宋体" w:hAnsi="宋体" w:eastAsia="宋体"/>
                <w:kern w:val="2"/>
              </w:rPr>
              <w:t>审查指标</w:t>
            </w:r>
          </w:p>
        </w:tc>
        <w:tc>
          <w:tcPr>
            <w:tcW w:w="1835" w:type="pct"/>
            <w:tcBorders>
              <w:bottom w:val="single" w:color="auto" w:sz="4" w:space="0"/>
            </w:tcBorders>
            <w:vAlign w:val="center"/>
          </w:tcPr>
          <w:p w14:paraId="2A7A36C8">
            <w:pPr>
              <w:adjustRightInd w:val="0"/>
              <w:snapToGrid w:val="0"/>
              <w:spacing w:line="360" w:lineRule="auto"/>
              <w:ind w:right="-10"/>
              <w:jc w:val="center"/>
              <w:rPr>
                <w:rFonts w:ascii="宋体" w:hAnsi="宋体" w:eastAsia="宋体"/>
                <w:sz w:val="24"/>
              </w:rPr>
            </w:pPr>
            <w:r>
              <w:rPr>
                <w:rFonts w:hint="eastAsia" w:ascii="宋体" w:hAnsi="宋体" w:eastAsia="宋体"/>
                <w:sz w:val="24"/>
              </w:rPr>
              <w:t>审查标准</w:t>
            </w:r>
          </w:p>
        </w:tc>
        <w:tc>
          <w:tcPr>
            <w:tcW w:w="1472" w:type="pct"/>
            <w:tcBorders>
              <w:bottom w:val="single" w:color="auto" w:sz="4" w:space="0"/>
            </w:tcBorders>
            <w:vAlign w:val="center"/>
          </w:tcPr>
          <w:p w14:paraId="2D94639C">
            <w:pPr>
              <w:adjustRightInd w:val="0"/>
              <w:snapToGrid w:val="0"/>
              <w:spacing w:line="360" w:lineRule="auto"/>
              <w:ind w:right="-10"/>
              <w:jc w:val="center"/>
              <w:rPr>
                <w:rFonts w:ascii="宋体" w:hAnsi="宋体" w:eastAsia="宋体"/>
                <w:sz w:val="24"/>
              </w:rPr>
            </w:pPr>
            <w:r>
              <w:rPr>
                <w:rFonts w:hint="eastAsia" w:ascii="宋体" w:hAnsi="宋体" w:eastAsia="宋体"/>
                <w:sz w:val="24"/>
              </w:rPr>
              <w:t>格式要求</w:t>
            </w:r>
          </w:p>
        </w:tc>
      </w:tr>
      <w:tr w14:paraId="2EC31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08E07E66">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1242" w:type="pct"/>
            <w:vAlign w:val="center"/>
          </w:tcPr>
          <w:p w14:paraId="275DC335">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rPr>
              <w:t>开标一览表</w:t>
            </w:r>
          </w:p>
        </w:tc>
        <w:tc>
          <w:tcPr>
            <w:tcW w:w="1835" w:type="pct"/>
            <w:vAlign w:val="center"/>
          </w:tcPr>
          <w:p w14:paraId="53168BEA">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格式、填写要求符合招标文件规定并加盖投标人公章</w:t>
            </w:r>
          </w:p>
        </w:tc>
        <w:tc>
          <w:tcPr>
            <w:tcW w:w="1472" w:type="pct"/>
            <w:vAlign w:val="center"/>
          </w:tcPr>
          <w:p w14:paraId="23026AAC">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详见第六章投标文件格式。</w:t>
            </w:r>
          </w:p>
        </w:tc>
      </w:tr>
      <w:tr w14:paraId="40B6A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0DCC6A0E">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1242" w:type="pct"/>
            <w:vAlign w:val="center"/>
          </w:tcPr>
          <w:p w14:paraId="760D4711">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投标函</w:t>
            </w:r>
          </w:p>
        </w:tc>
        <w:tc>
          <w:tcPr>
            <w:tcW w:w="1835" w:type="pct"/>
            <w:vAlign w:val="center"/>
          </w:tcPr>
          <w:p w14:paraId="766C48EA">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格式、填写要求符合招标文件规定并加盖投标人公章</w:t>
            </w:r>
          </w:p>
        </w:tc>
        <w:tc>
          <w:tcPr>
            <w:tcW w:w="1472" w:type="pct"/>
            <w:vAlign w:val="center"/>
          </w:tcPr>
          <w:p w14:paraId="33362F05">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详见第六章投标文件格式。</w:t>
            </w:r>
          </w:p>
        </w:tc>
      </w:tr>
      <w:tr w14:paraId="6108A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3B88F503">
            <w:pPr>
              <w:adjustRightInd w:val="0"/>
              <w:snapToGrid w:val="0"/>
              <w:spacing w:line="360" w:lineRule="auto"/>
              <w:ind w:right="-10"/>
              <w:jc w:val="center"/>
              <w:rPr>
                <w:rFonts w:asciiTheme="minorEastAsia" w:hAnsiTheme="minorEastAsia" w:eastAsiaTheme="minorEastAsia"/>
                <w:sz w:val="24"/>
              </w:rPr>
            </w:pPr>
            <w:r>
              <w:rPr>
                <w:rFonts w:asciiTheme="minorEastAsia" w:hAnsiTheme="minorEastAsia" w:eastAsiaTheme="minorEastAsia"/>
                <w:sz w:val="24"/>
              </w:rPr>
              <w:t>3</w:t>
            </w:r>
          </w:p>
        </w:tc>
        <w:tc>
          <w:tcPr>
            <w:tcW w:w="1242" w:type="pct"/>
            <w:vAlign w:val="center"/>
          </w:tcPr>
          <w:p w14:paraId="102C57F9">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授权书</w:t>
            </w:r>
          </w:p>
        </w:tc>
        <w:tc>
          <w:tcPr>
            <w:tcW w:w="1835" w:type="pct"/>
            <w:vAlign w:val="center"/>
          </w:tcPr>
          <w:p w14:paraId="1037A3CE">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格式、填写要求符合招标文件规定并加盖投标人公章</w:t>
            </w:r>
          </w:p>
        </w:tc>
        <w:tc>
          <w:tcPr>
            <w:tcW w:w="1472" w:type="pct"/>
            <w:vAlign w:val="center"/>
          </w:tcPr>
          <w:p w14:paraId="4193E017">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法定代表人参加投标的无需此件，提供身份证明即可。详见第六章投标文件格式。</w:t>
            </w:r>
          </w:p>
        </w:tc>
      </w:tr>
      <w:tr w14:paraId="2606E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24CB6B73">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4</w:t>
            </w:r>
          </w:p>
        </w:tc>
        <w:tc>
          <w:tcPr>
            <w:tcW w:w="1242" w:type="pct"/>
            <w:vAlign w:val="center"/>
          </w:tcPr>
          <w:p w14:paraId="2AE5E7CE">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投标报价</w:t>
            </w:r>
          </w:p>
        </w:tc>
        <w:tc>
          <w:tcPr>
            <w:tcW w:w="1835" w:type="pct"/>
            <w:vAlign w:val="center"/>
          </w:tcPr>
          <w:p w14:paraId="50FA992F">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符合</w:t>
            </w:r>
            <w:r>
              <w:rPr>
                <w:rFonts w:hint="eastAsia" w:asciiTheme="minorEastAsia" w:hAnsiTheme="minorEastAsia" w:eastAsiaTheme="minorEastAsia"/>
                <w:sz w:val="24"/>
              </w:rPr>
              <w:t>招标文件投标人须知正文第9条要求</w:t>
            </w:r>
          </w:p>
        </w:tc>
        <w:tc>
          <w:tcPr>
            <w:tcW w:w="1472" w:type="pct"/>
            <w:vAlign w:val="center"/>
          </w:tcPr>
          <w:p w14:paraId="38D387A0">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详见第六章投标文件格式。</w:t>
            </w:r>
          </w:p>
        </w:tc>
      </w:tr>
      <w:tr w14:paraId="4438B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70CCB997">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5</w:t>
            </w:r>
          </w:p>
        </w:tc>
        <w:tc>
          <w:tcPr>
            <w:tcW w:w="1242" w:type="pct"/>
            <w:vAlign w:val="center"/>
          </w:tcPr>
          <w:p w14:paraId="78F8C246">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商务响应情况</w:t>
            </w:r>
          </w:p>
        </w:tc>
        <w:tc>
          <w:tcPr>
            <w:tcW w:w="3430" w:type="dxa"/>
            <w:vAlign w:val="center"/>
          </w:tcPr>
          <w:p w14:paraId="7A41F156">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符合招标文件采购需求中对付款方式、供货及安装期限、供货及安装地点、免费质保期等实质性要求</w:t>
            </w:r>
          </w:p>
        </w:tc>
        <w:tc>
          <w:tcPr>
            <w:tcW w:w="1472" w:type="pct"/>
            <w:vAlign w:val="center"/>
          </w:tcPr>
          <w:p w14:paraId="4ED45E76">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详见第六章投标文件格式。</w:t>
            </w:r>
          </w:p>
        </w:tc>
      </w:tr>
      <w:tr w14:paraId="221AC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4EB29A7E">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6</w:t>
            </w:r>
          </w:p>
        </w:tc>
        <w:tc>
          <w:tcPr>
            <w:tcW w:w="1242" w:type="pct"/>
            <w:vAlign w:val="center"/>
          </w:tcPr>
          <w:p w14:paraId="34DDB70E">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技术响应情况</w:t>
            </w:r>
          </w:p>
        </w:tc>
        <w:tc>
          <w:tcPr>
            <w:tcW w:w="3430" w:type="dxa"/>
            <w:vAlign w:val="center"/>
          </w:tcPr>
          <w:p w14:paraId="38C4616A">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符合招标文件采购需求中货物技术参数等实质性要求</w:t>
            </w:r>
          </w:p>
        </w:tc>
        <w:tc>
          <w:tcPr>
            <w:tcW w:w="1472" w:type="pct"/>
            <w:vAlign w:val="center"/>
          </w:tcPr>
          <w:p w14:paraId="60D9E45E">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详见第六章投标文件格式。</w:t>
            </w:r>
          </w:p>
        </w:tc>
      </w:tr>
      <w:tr w14:paraId="143F8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7773375D">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7</w:t>
            </w:r>
          </w:p>
        </w:tc>
        <w:tc>
          <w:tcPr>
            <w:tcW w:w="1242" w:type="pct"/>
            <w:vAlign w:val="center"/>
          </w:tcPr>
          <w:p w14:paraId="1A1FE991">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其他要求</w:t>
            </w:r>
          </w:p>
        </w:tc>
        <w:tc>
          <w:tcPr>
            <w:tcW w:w="3430" w:type="dxa"/>
            <w:vAlign w:val="center"/>
          </w:tcPr>
          <w:p w14:paraId="5550200A">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符合法律、行政法规规定的其他条件或招标文件列明的其他实质性要求</w:t>
            </w:r>
          </w:p>
        </w:tc>
        <w:tc>
          <w:tcPr>
            <w:tcW w:w="1472" w:type="pct"/>
            <w:vAlign w:val="center"/>
          </w:tcPr>
          <w:p w14:paraId="7DE9FA98">
            <w:pPr>
              <w:adjustRightInd w:val="0"/>
              <w:snapToGrid w:val="0"/>
              <w:spacing w:line="360" w:lineRule="auto"/>
              <w:ind w:right="-10"/>
              <w:jc w:val="center"/>
              <w:rPr>
                <w:rFonts w:asciiTheme="minorEastAsia" w:hAnsiTheme="minorEastAsia" w:eastAsiaTheme="minorEastAsia"/>
                <w:sz w:val="24"/>
              </w:rPr>
            </w:pPr>
          </w:p>
        </w:tc>
      </w:tr>
    </w:tbl>
    <w:p w14:paraId="641EF650">
      <w:pPr>
        <w:spacing w:line="360" w:lineRule="auto"/>
        <w:ind w:firstLine="435"/>
        <w:rPr>
          <w:rFonts w:asciiTheme="minorEastAsia" w:hAnsiTheme="minorEastAsia" w:eastAsiaTheme="minorEastAsia"/>
          <w:sz w:val="24"/>
        </w:rPr>
      </w:pPr>
      <w:r>
        <w:rPr>
          <w:rFonts w:hint="eastAsia" w:asciiTheme="minorEastAsia" w:hAnsiTheme="minorEastAsia" w:eastAsiaTheme="minorEastAsia"/>
          <w:b/>
          <w:bCs/>
          <w:sz w:val="24"/>
        </w:rPr>
        <w:t>符合性审查指标通过标准：</w:t>
      </w:r>
      <w:r>
        <w:rPr>
          <w:rFonts w:hint="eastAsia" w:asciiTheme="minorEastAsia" w:hAnsiTheme="minorEastAsia" w:eastAsiaTheme="minorEastAsia"/>
          <w:sz w:val="24"/>
        </w:rPr>
        <w:t>投标人必须通过符合性审查表中的全部评审指标。</w:t>
      </w:r>
    </w:p>
    <w:p w14:paraId="12DC35E1">
      <w:pPr>
        <w:spacing w:line="360" w:lineRule="auto"/>
        <w:ind w:firstLine="437"/>
        <w:outlineLvl w:val="2"/>
        <w:rPr>
          <w:rFonts w:asciiTheme="minorEastAsia" w:hAnsiTheme="minorEastAsia" w:eastAsiaTheme="minorEastAsia"/>
          <w:sz w:val="24"/>
        </w:rPr>
      </w:pPr>
      <w:r>
        <w:rPr>
          <w:rFonts w:hint="eastAsia" w:asciiTheme="minorEastAsia" w:hAnsiTheme="minorEastAsia" w:eastAsiaTheme="minorEastAsia"/>
          <w:sz w:val="24"/>
        </w:rPr>
        <w:t>2.3详细审查</w:t>
      </w:r>
    </w:p>
    <w:p w14:paraId="250BB1E9">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.3.1</w:t>
      </w:r>
      <w:r>
        <w:rPr>
          <w:rFonts w:hint="eastAsia" w:asciiTheme="minorEastAsia" w:hAnsiTheme="minorEastAsia" w:eastAsiaTheme="minorEastAsia"/>
          <w:sz w:val="24"/>
        </w:rPr>
        <w:t>评标委员会按照下表对投标文件进行详细审查和评分。</w:t>
      </w:r>
    </w:p>
    <w:p w14:paraId="4CB501D3">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.3.2</w:t>
      </w:r>
      <w:r>
        <w:rPr>
          <w:rFonts w:hint="eastAsia" w:asciiTheme="minorEastAsia" w:hAnsiTheme="minorEastAsia" w:eastAsiaTheme="minorEastAsia"/>
          <w:sz w:val="24"/>
        </w:rPr>
        <w:t>本项目综合评分满分为1</w:t>
      </w:r>
      <w:r>
        <w:rPr>
          <w:rFonts w:asciiTheme="minorEastAsia" w:hAnsiTheme="minorEastAsia" w:eastAsiaTheme="minorEastAsia"/>
          <w:sz w:val="24"/>
        </w:rPr>
        <w:t>00</w:t>
      </w:r>
      <w:r>
        <w:rPr>
          <w:rFonts w:hint="eastAsia" w:asciiTheme="minorEastAsia" w:hAnsiTheme="minorEastAsia" w:eastAsiaTheme="minorEastAsia"/>
          <w:sz w:val="24"/>
        </w:rPr>
        <w:t>分，其中：技术资信分值占总分值的权重为</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4</w:t>
      </w:r>
      <w:r>
        <w:rPr>
          <w:rFonts w:asciiTheme="minorEastAsia" w:hAnsiTheme="minorEastAsia" w:eastAsiaTheme="minorEastAsia"/>
          <w:sz w:val="24"/>
          <w:u w:val="single"/>
        </w:rPr>
        <w:t xml:space="preserve">0 </w:t>
      </w:r>
      <w:r>
        <w:rPr>
          <w:rFonts w:asciiTheme="minorEastAsia" w:hAnsiTheme="minorEastAsia" w:eastAsiaTheme="minorEastAsia"/>
          <w:sz w:val="24"/>
        </w:rPr>
        <w:t>%，价格分值占总分值的权重为</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6</w:t>
      </w:r>
      <w:r>
        <w:rPr>
          <w:rFonts w:asciiTheme="minorEastAsia" w:hAnsiTheme="minorEastAsia" w:eastAsiaTheme="minorEastAsia"/>
          <w:sz w:val="24"/>
          <w:u w:val="single"/>
        </w:rPr>
        <w:t xml:space="preserve">0 </w:t>
      </w:r>
      <w:r>
        <w:rPr>
          <w:rFonts w:asciiTheme="minorEastAsia" w:hAnsiTheme="minorEastAsia" w:eastAsiaTheme="minorEastAsia"/>
          <w:sz w:val="24"/>
        </w:rPr>
        <w:t>%。具体评分细则如下：</w:t>
      </w:r>
    </w:p>
    <w:tbl>
      <w:tblPr>
        <w:tblStyle w:val="22"/>
        <w:tblW w:w="8217" w:type="dxa"/>
        <w:tblInd w:w="113" w:type="dxa"/>
        <w:tblLayout w:type="autofit"/>
        <w:tblCellMar>
          <w:top w:w="0" w:type="dxa"/>
          <w:left w:w="108" w:type="dxa"/>
          <w:bottom w:w="0" w:type="dxa"/>
          <w:right w:w="108" w:type="dxa"/>
        </w:tblCellMar>
      </w:tblPr>
      <w:tblGrid>
        <w:gridCol w:w="1079"/>
        <w:gridCol w:w="1080"/>
        <w:gridCol w:w="4924"/>
        <w:gridCol w:w="1134"/>
      </w:tblGrid>
      <w:tr w14:paraId="3D7B368A">
        <w:tblPrEx>
          <w:tblCellMar>
            <w:top w:w="0" w:type="dxa"/>
            <w:left w:w="108" w:type="dxa"/>
            <w:bottom w:w="0" w:type="dxa"/>
            <w:right w:w="108" w:type="dxa"/>
          </w:tblCellMar>
        </w:tblPrEx>
        <w:trPr>
          <w:trHeight w:val="285"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ECA17">
            <w:pPr>
              <w:widowControl/>
              <w:jc w:val="left"/>
              <w:rPr>
                <w:rFonts w:ascii="宋体" w:hAnsi="宋体" w:eastAsia="宋体" w:cs="宋体"/>
                <w:kern w:val="0"/>
                <w:sz w:val="24"/>
                <w:szCs w:val="24"/>
              </w:rPr>
            </w:pPr>
            <w:r>
              <w:rPr>
                <w:rFonts w:hint="eastAsia" w:ascii="宋体" w:hAnsi="宋体" w:eastAsia="宋体" w:cs="宋体"/>
                <w:kern w:val="0"/>
                <w:sz w:val="24"/>
                <w:szCs w:val="24"/>
              </w:rPr>
              <w:t>类别</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B9219">
            <w:pPr>
              <w:widowControl/>
              <w:jc w:val="left"/>
              <w:rPr>
                <w:rFonts w:ascii="宋体" w:hAnsi="宋体" w:eastAsia="宋体" w:cs="宋体"/>
                <w:kern w:val="0"/>
                <w:sz w:val="24"/>
                <w:szCs w:val="24"/>
              </w:rPr>
            </w:pPr>
            <w:r>
              <w:rPr>
                <w:rFonts w:hint="eastAsia" w:ascii="宋体" w:hAnsi="宋体" w:eastAsia="宋体" w:cs="宋体"/>
                <w:kern w:val="0"/>
                <w:sz w:val="24"/>
                <w:szCs w:val="24"/>
              </w:rPr>
              <w:t>评分内容</w:t>
            </w:r>
          </w:p>
        </w:tc>
        <w:tc>
          <w:tcPr>
            <w:tcW w:w="4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09656">
            <w:pPr>
              <w:widowControl/>
              <w:jc w:val="left"/>
              <w:rPr>
                <w:rFonts w:ascii="宋体" w:hAnsi="宋体" w:eastAsia="宋体" w:cs="宋体"/>
                <w:kern w:val="0"/>
                <w:sz w:val="24"/>
                <w:szCs w:val="24"/>
              </w:rPr>
            </w:pPr>
            <w:r>
              <w:rPr>
                <w:rFonts w:hint="eastAsia" w:ascii="宋体" w:hAnsi="宋体" w:eastAsia="宋体" w:cs="宋体"/>
                <w:kern w:val="0"/>
                <w:sz w:val="24"/>
                <w:szCs w:val="24"/>
              </w:rPr>
              <w:t>评分标准</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41F22">
            <w:pPr>
              <w:widowControl/>
              <w:jc w:val="left"/>
              <w:rPr>
                <w:rFonts w:ascii="宋体" w:hAnsi="宋体" w:eastAsia="宋体" w:cs="宋体"/>
                <w:kern w:val="0"/>
                <w:sz w:val="24"/>
                <w:szCs w:val="24"/>
              </w:rPr>
            </w:pPr>
            <w:r>
              <w:rPr>
                <w:rFonts w:hint="eastAsia" w:ascii="宋体" w:hAnsi="宋体" w:eastAsia="宋体" w:cs="宋体"/>
                <w:kern w:val="0"/>
                <w:sz w:val="24"/>
                <w:szCs w:val="24"/>
              </w:rPr>
              <w:t>分值</w:t>
            </w:r>
          </w:p>
        </w:tc>
      </w:tr>
      <w:tr w14:paraId="7300A36C">
        <w:tblPrEx>
          <w:tblCellMar>
            <w:top w:w="0" w:type="dxa"/>
            <w:left w:w="108" w:type="dxa"/>
            <w:bottom w:w="0" w:type="dxa"/>
            <w:right w:w="108" w:type="dxa"/>
          </w:tblCellMar>
        </w:tblPrEx>
        <w:trPr>
          <w:trHeight w:val="144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82825">
            <w:pPr>
              <w:widowControl/>
              <w:jc w:val="left"/>
              <w:rPr>
                <w:rFonts w:ascii="宋体" w:hAnsi="宋体" w:eastAsia="宋体" w:cs="宋体"/>
                <w:kern w:val="0"/>
                <w:sz w:val="24"/>
                <w:szCs w:val="24"/>
              </w:rPr>
            </w:pPr>
            <w:r>
              <w:rPr>
                <w:rFonts w:hint="eastAsia" w:ascii="宋体" w:hAnsi="宋体" w:eastAsia="宋体" w:cs="宋体"/>
                <w:kern w:val="0"/>
                <w:sz w:val="24"/>
                <w:szCs w:val="24"/>
              </w:rPr>
              <w:t>价格部分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8EF60">
            <w:pPr>
              <w:widowControl/>
              <w:jc w:val="left"/>
              <w:rPr>
                <w:rFonts w:ascii="宋体" w:hAnsi="宋体" w:eastAsia="宋体" w:cs="宋体"/>
                <w:kern w:val="0"/>
                <w:sz w:val="24"/>
                <w:szCs w:val="24"/>
              </w:rPr>
            </w:pPr>
            <w:r>
              <w:rPr>
                <w:rFonts w:hint="eastAsia" w:ascii="宋体" w:hAnsi="宋体" w:eastAsia="宋体" w:cs="宋体"/>
                <w:kern w:val="0"/>
                <w:sz w:val="24"/>
                <w:szCs w:val="24"/>
              </w:rPr>
              <w:t>投标报价</w:t>
            </w:r>
          </w:p>
        </w:tc>
        <w:tc>
          <w:tcPr>
            <w:tcW w:w="4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43135">
            <w:pPr>
              <w:widowControl/>
              <w:jc w:val="left"/>
              <w:rPr>
                <w:rFonts w:ascii="宋体" w:hAnsi="宋体" w:eastAsia="宋体" w:cs="宋体"/>
                <w:kern w:val="0"/>
                <w:sz w:val="24"/>
                <w:szCs w:val="24"/>
              </w:rPr>
            </w:pPr>
            <w:r>
              <w:rPr>
                <w:rFonts w:hint="eastAsia" w:ascii="宋体" w:hAnsi="宋体" w:eastAsia="宋体" w:cs="宋体"/>
                <w:kern w:val="0"/>
                <w:sz w:val="24"/>
                <w:szCs w:val="24"/>
              </w:rPr>
              <w:t>价格分统一采用低价优先法，即满足招标文件要求且投标价格最低的投标报价为评标基准价，其价格分为满分60分。其他投标人的价格分统一按照下列公式计算：</w:t>
            </w:r>
            <w:r>
              <w:rPr>
                <w:rFonts w:hint="eastAsia" w:ascii="宋体" w:hAnsi="宋体" w:eastAsia="宋体" w:cs="宋体"/>
                <w:kern w:val="0"/>
                <w:sz w:val="24"/>
                <w:szCs w:val="24"/>
              </w:rPr>
              <w:br w:type="textWrapping"/>
            </w:r>
            <w:r>
              <w:rPr>
                <w:rFonts w:hint="eastAsia" w:ascii="宋体" w:hAnsi="宋体" w:eastAsia="宋体" w:cs="宋体"/>
                <w:kern w:val="0"/>
                <w:sz w:val="24"/>
                <w:szCs w:val="24"/>
              </w:rPr>
              <w:t>1.投标报价得分=（评标基准价/投标报价）*60％*100</w:t>
            </w:r>
            <w:r>
              <w:rPr>
                <w:rFonts w:hint="eastAsia" w:ascii="宋体" w:hAnsi="宋体" w:eastAsia="宋体" w:cs="宋体"/>
                <w:kern w:val="0"/>
                <w:sz w:val="24"/>
                <w:szCs w:val="24"/>
              </w:rPr>
              <w:br w:type="textWrapping"/>
            </w:r>
            <w:r>
              <w:rPr>
                <w:rFonts w:hint="eastAsia" w:ascii="宋体" w:hAnsi="宋体" w:eastAsia="宋体" w:cs="宋体"/>
                <w:kern w:val="0"/>
                <w:sz w:val="24"/>
                <w:szCs w:val="24"/>
              </w:rPr>
              <w:t>2.其中报价按季度采购量计划，即为：报价=借记卡制卡单价*10000+（借记卡同卡号换卡+立金+烫金+彩色PVC材料）*100+密码信封*50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0977F">
            <w:pPr>
              <w:widowControl/>
              <w:jc w:val="left"/>
              <w:rPr>
                <w:rFonts w:ascii="宋体" w:hAnsi="宋体" w:eastAsia="宋体" w:cs="宋体"/>
                <w:kern w:val="0"/>
                <w:sz w:val="24"/>
                <w:szCs w:val="24"/>
              </w:rPr>
            </w:pPr>
            <w:r>
              <w:rPr>
                <w:rFonts w:hint="eastAsia" w:ascii="宋体" w:hAnsi="宋体" w:eastAsia="宋体" w:cs="宋体"/>
                <w:kern w:val="0"/>
                <w:sz w:val="24"/>
                <w:szCs w:val="24"/>
              </w:rPr>
              <w:t>60分</w:t>
            </w:r>
          </w:p>
        </w:tc>
      </w:tr>
      <w:tr w14:paraId="4D1A1B72">
        <w:tblPrEx>
          <w:tblCellMar>
            <w:top w:w="0" w:type="dxa"/>
            <w:left w:w="108" w:type="dxa"/>
            <w:bottom w:w="0" w:type="dxa"/>
            <w:right w:w="108" w:type="dxa"/>
          </w:tblCellMar>
        </w:tblPrEx>
        <w:trPr>
          <w:trHeight w:val="2700" w:hRule="atLeast"/>
        </w:trPr>
        <w:tc>
          <w:tcPr>
            <w:tcW w:w="1079" w:type="dxa"/>
            <w:vMerge w:val="restart"/>
            <w:tcBorders>
              <w:top w:val="single" w:color="000000" w:sz="4" w:space="0"/>
              <w:left w:val="single" w:color="000000" w:sz="4" w:space="0"/>
              <w:bottom w:val="nil"/>
              <w:right w:val="single" w:color="000000" w:sz="4" w:space="0"/>
            </w:tcBorders>
            <w:shd w:val="clear" w:color="auto" w:fill="auto"/>
            <w:vAlign w:val="center"/>
          </w:tcPr>
          <w:p w14:paraId="7A8A6097">
            <w:pPr>
              <w:widowControl/>
              <w:jc w:val="center"/>
              <w:rPr>
                <w:rFonts w:ascii="宋体" w:hAnsi="宋体" w:eastAsia="宋体" w:cs="宋体"/>
                <w:kern w:val="0"/>
                <w:sz w:val="24"/>
                <w:szCs w:val="24"/>
              </w:rPr>
            </w:pPr>
            <w:r>
              <w:rPr>
                <w:rFonts w:hint="eastAsia" w:ascii="宋体" w:hAnsi="宋体" w:eastAsia="宋体" w:cs="宋体"/>
                <w:kern w:val="0"/>
                <w:sz w:val="24"/>
                <w:szCs w:val="24"/>
              </w:rPr>
              <w:t>技术资信部分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87286">
            <w:pPr>
              <w:widowControl/>
              <w:jc w:val="left"/>
              <w:rPr>
                <w:rFonts w:ascii="宋体" w:hAnsi="宋体" w:eastAsia="宋体" w:cs="宋体"/>
                <w:kern w:val="0"/>
                <w:sz w:val="24"/>
                <w:szCs w:val="24"/>
              </w:rPr>
            </w:pPr>
            <w:r>
              <w:rPr>
                <w:rFonts w:hint="eastAsia" w:ascii="宋体" w:hAnsi="宋体" w:eastAsia="宋体" w:cs="宋体"/>
                <w:kern w:val="0"/>
                <w:sz w:val="24"/>
                <w:szCs w:val="24"/>
              </w:rPr>
              <w:t>资质情况</w:t>
            </w:r>
          </w:p>
        </w:tc>
        <w:tc>
          <w:tcPr>
            <w:tcW w:w="4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E9BDE">
            <w:pPr>
              <w:widowControl/>
              <w:jc w:val="left"/>
              <w:rPr>
                <w:rFonts w:ascii="宋体" w:hAnsi="宋体" w:eastAsia="宋体" w:cs="宋体"/>
                <w:kern w:val="0"/>
                <w:sz w:val="24"/>
                <w:szCs w:val="24"/>
              </w:rPr>
            </w:pPr>
            <w:r>
              <w:rPr>
                <w:rFonts w:hint="eastAsia" w:ascii="宋体" w:hAnsi="宋体" w:eastAsia="宋体" w:cs="宋体"/>
                <w:kern w:val="0"/>
                <w:sz w:val="24"/>
                <w:szCs w:val="24"/>
              </w:rPr>
              <w:t>（1）ISO27001信息安全管理体系认证证书；</w:t>
            </w:r>
          </w:p>
          <w:p w14:paraId="41B2D05B">
            <w:pPr>
              <w:widowControl/>
              <w:jc w:val="left"/>
              <w:rPr>
                <w:rFonts w:ascii="宋体" w:hAnsi="宋体" w:eastAsia="宋体" w:cs="宋体"/>
                <w:kern w:val="0"/>
                <w:sz w:val="24"/>
                <w:szCs w:val="24"/>
              </w:rPr>
            </w:pPr>
            <w:r>
              <w:rPr>
                <w:rFonts w:hint="eastAsia" w:ascii="宋体" w:hAnsi="宋体" w:eastAsia="宋体" w:cs="宋体"/>
                <w:kern w:val="0"/>
                <w:sz w:val="24"/>
                <w:szCs w:val="24"/>
              </w:rPr>
              <w:t>（2）ISO20000信息技术服务管理体系认证证书</w:t>
            </w:r>
          </w:p>
          <w:p w14:paraId="08FFE54B">
            <w:pPr>
              <w:widowControl/>
              <w:jc w:val="left"/>
              <w:rPr>
                <w:rFonts w:ascii="宋体" w:hAnsi="宋体" w:eastAsia="宋体" w:cs="宋体"/>
                <w:kern w:val="0"/>
                <w:sz w:val="24"/>
                <w:szCs w:val="24"/>
              </w:rPr>
            </w:pPr>
            <w:r>
              <w:rPr>
                <w:rFonts w:hint="eastAsia" w:ascii="宋体" w:hAnsi="宋体" w:eastAsia="宋体" w:cs="宋体"/>
                <w:kern w:val="0"/>
                <w:sz w:val="24"/>
                <w:szCs w:val="24"/>
              </w:rPr>
              <w:t>（3）ISO14001环境管理体系认证证书；</w:t>
            </w:r>
          </w:p>
          <w:p w14:paraId="4D1CFF58">
            <w:pPr>
              <w:widowControl/>
              <w:jc w:val="left"/>
              <w:rPr>
                <w:rFonts w:ascii="宋体" w:hAnsi="宋体" w:eastAsia="宋体" w:cs="宋体"/>
                <w:kern w:val="0"/>
                <w:sz w:val="24"/>
                <w:szCs w:val="24"/>
              </w:rPr>
            </w:pPr>
            <w:r>
              <w:rPr>
                <w:rFonts w:hint="eastAsia" w:ascii="宋体" w:hAnsi="宋体" w:eastAsia="宋体" w:cs="宋体"/>
                <w:kern w:val="0"/>
                <w:sz w:val="24"/>
                <w:szCs w:val="24"/>
              </w:rPr>
              <w:t>（4）能源管理体系认证证书</w:t>
            </w:r>
          </w:p>
          <w:p w14:paraId="1D543749">
            <w:pPr>
              <w:widowControl/>
              <w:jc w:val="left"/>
              <w:rPr>
                <w:rFonts w:ascii="宋体" w:hAnsi="宋体" w:eastAsia="宋体" w:cs="宋体"/>
                <w:kern w:val="0"/>
                <w:sz w:val="24"/>
                <w:szCs w:val="24"/>
              </w:rPr>
            </w:pPr>
            <w:r>
              <w:rPr>
                <w:rFonts w:hint="eastAsia" w:ascii="宋体" w:hAnsi="宋体" w:eastAsia="宋体" w:cs="宋体"/>
                <w:kern w:val="0"/>
                <w:sz w:val="24"/>
                <w:szCs w:val="24"/>
              </w:rPr>
              <w:t>（5）ISO22301业务连续性管理体系认证证书；</w:t>
            </w:r>
          </w:p>
          <w:p w14:paraId="2E130E99">
            <w:pPr>
              <w:widowControl/>
              <w:jc w:val="left"/>
              <w:rPr>
                <w:rFonts w:ascii="宋体" w:hAnsi="宋体" w:eastAsia="宋体" w:cs="宋体"/>
                <w:kern w:val="0"/>
                <w:sz w:val="24"/>
                <w:szCs w:val="24"/>
              </w:rPr>
            </w:pPr>
            <w:r>
              <w:rPr>
                <w:rFonts w:hint="eastAsia" w:ascii="宋体" w:hAnsi="宋体" w:eastAsia="宋体" w:cs="宋体"/>
                <w:kern w:val="0"/>
                <w:sz w:val="24"/>
                <w:szCs w:val="24"/>
              </w:rPr>
              <w:t>（6）集成电路卡注册证书</w:t>
            </w:r>
          </w:p>
          <w:p w14:paraId="3300D351">
            <w:pPr>
              <w:widowControl/>
              <w:jc w:val="left"/>
              <w:rPr>
                <w:rFonts w:ascii="宋体" w:hAnsi="宋体" w:eastAsia="宋体" w:cs="宋体"/>
                <w:kern w:val="0"/>
                <w:sz w:val="24"/>
                <w:szCs w:val="24"/>
              </w:rPr>
            </w:pPr>
            <w:r>
              <w:rPr>
                <w:rFonts w:hint="eastAsia" w:ascii="宋体" w:hAnsi="宋体" w:eastAsia="宋体" w:cs="宋体"/>
                <w:kern w:val="0"/>
                <w:sz w:val="24"/>
                <w:szCs w:val="24"/>
              </w:rPr>
              <w:t>（7）质量管理体系认证证书，认证依据为GB/T 19001-2016或ISO 9001</w:t>
            </w:r>
          </w:p>
          <w:p w14:paraId="7D48F2F9">
            <w:pPr>
              <w:widowControl/>
              <w:jc w:val="left"/>
              <w:rPr>
                <w:rFonts w:ascii="宋体" w:hAnsi="宋体" w:eastAsia="宋体" w:cs="宋体"/>
                <w:kern w:val="0"/>
                <w:sz w:val="24"/>
                <w:szCs w:val="24"/>
              </w:rPr>
            </w:pPr>
            <w:r>
              <w:rPr>
                <w:rFonts w:hint="eastAsia" w:ascii="宋体" w:hAnsi="宋体" w:eastAsia="宋体" w:cs="宋体"/>
                <w:kern w:val="0"/>
                <w:sz w:val="24"/>
                <w:szCs w:val="24"/>
              </w:rPr>
              <w:t>（8）具备国家秘密载体印制资质</w:t>
            </w:r>
            <w:r>
              <w:rPr>
                <w:rFonts w:hint="eastAsia" w:ascii="宋体" w:hAnsi="宋体" w:eastAsia="宋体" w:cs="宋体"/>
                <w:kern w:val="0"/>
                <w:sz w:val="24"/>
                <w:szCs w:val="24"/>
                <w:lang w:val="en-US" w:eastAsia="zh-CN"/>
              </w:rPr>
              <w:t>或安全印刷流程管理</w:t>
            </w:r>
            <w:r>
              <w:rPr>
                <w:rFonts w:hint="eastAsia" w:ascii="宋体" w:hAnsi="宋体" w:eastAsia="宋体" w:cs="宋体"/>
                <w:kern w:val="0"/>
                <w:sz w:val="24"/>
                <w:szCs w:val="24"/>
              </w:rPr>
              <w:t>证书</w:t>
            </w:r>
          </w:p>
          <w:p w14:paraId="541D2998">
            <w:pPr>
              <w:widowControl/>
              <w:jc w:val="left"/>
              <w:rPr>
                <w:rFonts w:ascii="宋体" w:hAnsi="宋体" w:eastAsia="宋体" w:cs="宋体"/>
                <w:kern w:val="0"/>
                <w:sz w:val="24"/>
                <w:szCs w:val="24"/>
              </w:rPr>
            </w:pPr>
            <w:r>
              <w:rPr>
                <w:rFonts w:hint="eastAsia" w:ascii="宋体" w:hAnsi="宋体" w:eastAsia="宋体" w:cs="宋体"/>
                <w:kern w:val="0"/>
                <w:sz w:val="24"/>
                <w:szCs w:val="24"/>
              </w:rPr>
              <w:t>（9）知识产权合规管理体系认证证书</w:t>
            </w:r>
          </w:p>
          <w:p w14:paraId="28F33DE7">
            <w:pPr>
              <w:widowControl/>
              <w:jc w:val="left"/>
              <w:rPr>
                <w:rFonts w:ascii="宋体" w:hAnsi="宋体" w:eastAsia="宋体" w:cs="宋体"/>
                <w:kern w:val="0"/>
                <w:sz w:val="24"/>
                <w:szCs w:val="24"/>
              </w:rPr>
            </w:pPr>
            <w:r>
              <w:rPr>
                <w:rFonts w:hint="eastAsia" w:ascii="宋体" w:hAnsi="宋体" w:eastAsia="宋体" w:cs="宋体"/>
                <w:kern w:val="0"/>
                <w:sz w:val="24"/>
                <w:szCs w:val="24"/>
              </w:rPr>
              <w:t>（10）获得商用密码产品认证证书</w:t>
            </w:r>
          </w:p>
          <w:p w14:paraId="39BCB1DC">
            <w:pPr>
              <w:widowControl/>
              <w:jc w:val="left"/>
              <w:rPr>
                <w:rFonts w:ascii="宋体" w:hAnsi="宋体" w:eastAsia="宋体" w:cs="宋体"/>
                <w:kern w:val="0"/>
                <w:sz w:val="24"/>
                <w:szCs w:val="24"/>
              </w:rPr>
            </w:pPr>
            <w:r>
              <w:rPr>
                <w:rFonts w:hint="eastAsia" w:ascii="宋体" w:hAnsi="宋体" w:eastAsia="宋体" w:cs="宋体"/>
                <w:kern w:val="0"/>
                <w:sz w:val="24"/>
                <w:szCs w:val="24"/>
              </w:rPr>
              <w:t>具有以上资质，得满分10分，缺少一个扣1分</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195BB">
            <w:pPr>
              <w:widowControl/>
              <w:jc w:val="left"/>
              <w:rPr>
                <w:rFonts w:ascii="宋体" w:hAnsi="宋体" w:eastAsia="宋体" w:cs="宋体"/>
                <w:kern w:val="0"/>
                <w:sz w:val="24"/>
                <w:szCs w:val="24"/>
              </w:rPr>
            </w:pPr>
            <w:r>
              <w:rPr>
                <w:rFonts w:hint="eastAsia" w:ascii="宋体" w:hAnsi="宋体" w:eastAsia="宋体" w:cs="宋体"/>
                <w:kern w:val="0"/>
                <w:sz w:val="24"/>
                <w:szCs w:val="24"/>
              </w:rPr>
              <w:t>10分</w:t>
            </w:r>
          </w:p>
        </w:tc>
      </w:tr>
      <w:tr w14:paraId="34F6CA27">
        <w:tblPrEx>
          <w:tblCellMar>
            <w:top w:w="0" w:type="dxa"/>
            <w:left w:w="108" w:type="dxa"/>
            <w:bottom w:w="0" w:type="dxa"/>
            <w:right w:w="108" w:type="dxa"/>
          </w:tblCellMar>
        </w:tblPrEx>
        <w:trPr>
          <w:trHeight w:val="1350" w:hRule="atLeast"/>
        </w:trPr>
        <w:tc>
          <w:tcPr>
            <w:tcW w:w="1079" w:type="dxa"/>
            <w:vMerge w:val="continue"/>
            <w:tcBorders>
              <w:top w:val="single" w:color="000000" w:sz="4" w:space="0"/>
              <w:left w:val="single" w:color="000000" w:sz="4" w:space="0"/>
              <w:bottom w:val="nil"/>
              <w:right w:val="single" w:color="000000" w:sz="4" w:space="0"/>
            </w:tcBorders>
            <w:shd w:val="clear" w:color="auto" w:fill="auto"/>
            <w:vAlign w:val="center"/>
          </w:tcPr>
          <w:p w14:paraId="7D9BCFA2">
            <w:pPr>
              <w:widowControl/>
              <w:jc w:val="left"/>
              <w:rPr>
                <w:rFonts w:ascii="宋体" w:hAnsi="宋体" w:eastAsia="宋体" w:cs="宋体"/>
                <w:kern w:val="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97748">
            <w:pPr>
              <w:widowControl/>
              <w:jc w:val="left"/>
              <w:rPr>
                <w:rFonts w:ascii="宋体" w:hAnsi="宋体" w:eastAsia="宋体" w:cs="宋体"/>
                <w:kern w:val="0"/>
                <w:sz w:val="24"/>
                <w:szCs w:val="24"/>
              </w:rPr>
            </w:pPr>
            <w:r>
              <w:rPr>
                <w:rFonts w:hint="eastAsia" w:ascii="宋体" w:hAnsi="宋体" w:eastAsia="宋体" w:cs="宋体"/>
                <w:kern w:val="0"/>
                <w:sz w:val="24"/>
                <w:szCs w:val="24"/>
              </w:rPr>
              <w:t>类似项目业绩</w:t>
            </w:r>
          </w:p>
        </w:tc>
        <w:tc>
          <w:tcPr>
            <w:tcW w:w="4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1E1B2">
            <w:pPr>
              <w:widowControl/>
              <w:jc w:val="left"/>
              <w:rPr>
                <w:rFonts w:ascii="宋体" w:hAnsi="宋体" w:eastAsia="宋体" w:cs="宋体"/>
                <w:kern w:val="0"/>
                <w:sz w:val="24"/>
                <w:szCs w:val="24"/>
              </w:rPr>
            </w:pPr>
            <w:r>
              <w:rPr>
                <w:rFonts w:hint="eastAsia" w:ascii="宋体" w:hAnsi="宋体" w:eastAsia="宋体" w:cs="宋体"/>
                <w:kern w:val="0"/>
                <w:sz w:val="24"/>
                <w:szCs w:val="24"/>
              </w:rPr>
              <w:t>投标人2022年1月1日至今，具有工商银行、农业银行、中国银行、建设银行、交通银行、邮储银行、全国性股份制商业银行总行、城市商业银行、市级及以上农村信用合作联社金融IC卡制卡案例的，每一份合同得1分，最高得5分</w:t>
            </w:r>
            <w:r>
              <w:rPr>
                <w:rFonts w:ascii="宋体" w:hAnsi="宋体" w:eastAsia="宋体" w:cs="宋体"/>
                <w:kern w:val="0"/>
                <w:sz w:val="24"/>
                <w:szCs w:val="24"/>
              </w:rPr>
              <w:t xml:space="preserve"> </w:t>
            </w:r>
            <w:r>
              <w:rPr>
                <w:rFonts w:ascii="宋体" w:hAnsi="宋体" w:eastAsia="宋体" w:cs="宋体"/>
                <w:i/>
                <w:iCs/>
                <w:kern w:val="0"/>
                <w:sz w:val="24"/>
                <w:szCs w:val="24"/>
              </w:rPr>
              <w:t>(注：需提供合同</w:t>
            </w:r>
            <w:r>
              <w:rPr>
                <w:rFonts w:hint="eastAsia" w:ascii="宋体" w:hAnsi="宋体" w:eastAsia="宋体" w:cs="宋体"/>
                <w:i/>
                <w:iCs/>
                <w:kern w:val="0"/>
                <w:sz w:val="24"/>
                <w:szCs w:val="24"/>
              </w:rPr>
              <w:t>关键页</w:t>
            </w:r>
            <w:r>
              <w:rPr>
                <w:rFonts w:ascii="宋体" w:hAnsi="宋体" w:eastAsia="宋体" w:cs="宋体"/>
                <w:i/>
                <w:iCs/>
                <w:kern w:val="0"/>
                <w:sz w:val="24"/>
                <w:szCs w:val="24"/>
              </w:rPr>
              <w:t>，</w:t>
            </w:r>
            <w:r>
              <w:rPr>
                <w:rFonts w:hint="eastAsia" w:ascii="宋体" w:hAnsi="宋体" w:eastAsia="宋体" w:cs="宋体"/>
                <w:i/>
                <w:iCs/>
                <w:kern w:val="0"/>
                <w:sz w:val="24"/>
                <w:szCs w:val="24"/>
              </w:rPr>
              <w:t>如首页、服务内容页、签署日期页、盖章页等，扫描加盖公章。合同中清晰显示关键信息，如“金融IC卡”“借记卡”“贷记卡”“银行卡”“信用卡”等任意一项关键词或含同类意思表述关键词</w:t>
            </w:r>
            <w:r>
              <w:rPr>
                <w:rFonts w:ascii="宋体" w:hAnsi="宋体" w:eastAsia="宋体" w:cs="宋体"/>
                <w:i/>
                <w:iCs/>
                <w:kern w:val="0"/>
                <w:sz w:val="24"/>
                <w:szCs w:val="24"/>
              </w:rPr>
              <w:t>)</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C29A7">
            <w:pPr>
              <w:widowControl/>
              <w:jc w:val="left"/>
              <w:rPr>
                <w:rFonts w:ascii="宋体" w:hAnsi="宋体" w:eastAsia="宋体" w:cs="宋体"/>
                <w:kern w:val="0"/>
                <w:sz w:val="24"/>
                <w:szCs w:val="24"/>
              </w:rPr>
            </w:pPr>
            <w:r>
              <w:rPr>
                <w:rFonts w:hint="eastAsia" w:ascii="宋体" w:hAnsi="宋体" w:eastAsia="宋体" w:cs="宋体"/>
                <w:kern w:val="0"/>
                <w:sz w:val="24"/>
                <w:szCs w:val="24"/>
              </w:rPr>
              <w:t>5分</w:t>
            </w:r>
          </w:p>
        </w:tc>
      </w:tr>
      <w:tr w14:paraId="5003EE76">
        <w:tblPrEx>
          <w:tblCellMar>
            <w:top w:w="0" w:type="dxa"/>
            <w:left w:w="108" w:type="dxa"/>
            <w:bottom w:w="0" w:type="dxa"/>
            <w:right w:w="108" w:type="dxa"/>
          </w:tblCellMar>
        </w:tblPrEx>
        <w:trPr>
          <w:trHeight w:val="1350" w:hRule="atLeast"/>
        </w:trPr>
        <w:tc>
          <w:tcPr>
            <w:tcW w:w="1079" w:type="dxa"/>
            <w:vMerge w:val="continue"/>
            <w:tcBorders>
              <w:top w:val="single" w:color="000000" w:sz="4" w:space="0"/>
              <w:left w:val="single" w:color="000000" w:sz="4" w:space="0"/>
              <w:bottom w:val="nil"/>
              <w:right w:val="single" w:color="000000" w:sz="4" w:space="0"/>
            </w:tcBorders>
            <w:shd w:val="clear" w:color="auto" w:fill="auto"/>
            <w:vAlign w:val="center"/>
          </w:tcPr>
          <w:p w14:paraId="5F42CBB8">
            <w:pPr>
              <w:widowControl/>
              <w:jc w:val="left"/>
              <w:rPr>
                <w:rFonts w:ascii="宋体" w:hAnsi="宋体" w:eastAsia="宋体" w:cs="宋体"/>
                <w:kern w:val="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E37AC">
            <w:pPr>
              <w:widowControl/>
              <w:jc w:val="left"/>
              <w:rPr>
                <w:rFonts w:ascii="宋体" w:hAnsi="宋体" w:eastAsia="宋体" w:cs="宋体"/>
                <w:kern w:val="0"/>
                <w:sz w:val="24"/>
                <w:szCs w:val="24"/>
              </w:rPr>
            </w:pPr>
            <w:r>
              <w:rPr>
                <w:rFonts w:hint="eastAsia" w:ascii="宋体" w:hAnsi="宋体" w:eastAsia="宋体" w:cs="宋体"/>
                <w:kern w:val="0"/>
                <w:sz w:val="24"/>
                <w:szCs w:val="24"/>
              </w:rPr>
              <w:t>应急能力</w:t>
            </w:r>
          </w:p>
        </w:tc>
        <w:tc>
          <w:tcPr>
            <w:tcW w:w="4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22899">
            <w:pPr>
              <w:widowControl/>
              <w:jc w:val="left"/>
              <w:rPr>
                <w:rFonts w:ascii="宋体" w:hAnsi="宋体" w:eastAsia="宋体" w:cs="宋体"/>
                <w:kern w:val="0"/>
                <w:sz w:val="24"/>
                <w:szCs w:val="24"/>
              </w:rPr>
            </w:pPr>
            <w:r>
              <w:rPr>
                <w:rFonts w:hint="eastAsia" w:ascii="宋体" w:hAnsi="宋体" w:eastAsia="宋体" w:cs="宋体"/>
                <w:kern w:val="0"/>
                <w:sz w:val="24"/>
                <w:szCs w:val="24"/>
              </w:rPr>
              <w:t>投标人在国内自有多个个人化中心，有较强容灾解决能力：</w:t>
            </w:r>
            <w:r>
              <w:rPr>
                <w:rFonts w:hint="eastAsia" w:ascii="宋体" w:hAnsi="宋体" w:eastAsia="宋体" w:cs="宋体"/>
                <w:kern w:val="0"/>
                <w:sz w:val="24"/>
                <w:szCs w:val="24"/>
              </w:rPr>
              <w:br w:type="textWrapping"/>
            </w:r>
            <w:r>
              <w:rPr>
                <w:rFonts w:hint="eastAsia" w:ascii="宋体" w:hAnsi="宋体" w:eastAsia="宋体" w:cs="宋体"/>
                <w:kern w:val="0"/>
                <w:sz w:val="24"/>
                <w:szCs w:val="24"/>
              </w:rPr>
              <w:t>有2个（含）及以上个人化中心或只有1个个人化中心，但与其他卡厂互为灾备应急中心的，得2分。</w:t>
            </w:r>
          </w:p>
          <w:p w14:paraId="0AFA958F">
            <w:pPr>
              <w:widowControl/>
              <w:jc w:val="left"/>
              <w:rPr>
                <w:rFonts w:ascii="宋体" w:hAnsi="宋体" w:eastAsia="宋体" w:cs="宋体"/>
                <w:kern w:val="0"/>
                <w:sz w:val="24"/>
                <w:szCs w:val="24"/>
              </w:rPr>
            </w:pPr>
            <w:r>
              <w:rPr>
                <w:rFonts w:hint="eastAsia" w:ascii="宋体" w:hAnsi="宋体" w:eastAsia="宋体" w:cs="宋体"/>
                <w:kern w:val="0"/>
                <w:sz w:val="24"/>
                <w:szCs w:val="24"/>
              </w:rPr>
              <w:t>有1个以下个人化中心，但未与其他卡厂互为灾备应急中心的，不得分</w:t>
            </w:r>
            <w:r>
              <w:rPr>
                <w:rFonts w:hint="eastAsia" w:ascii="宋体" w:hAnsi="宋体" w:eastAsia="宋体" w:cs="宋体"/>
                <w:kern w:val="0"/>
                <w:sz w:val="24"/>
                <w:szCs w:val="24"/>
              </w:rPr>
              <w:br w:type="textWrapping"/>
            </w:r>
            <w:r>
              <w:rPr>
                <w:rFonts w:hint="eastAsia" w:ascii="宋体" w:hAnsi="宋体" w:eastAsia="宋体" w:cs="宋体"/>
                <w:kern w:val="0"/>
                <w:sz w:val="24"/>
                <w:szCs w:val="24"/>
              </w:rPr>
              <w:t>注：自有的个人化中心须提供有效期内的《银联标识产品企业资质认证证书》复印件，并加盖公章。</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83AC8">
            <w:pPr>
              <w:widowControl/>
              <w:jc w:val="left"/>
              <w:rPr>
                <w:rFonts w:ascii="宋体" w:hAnsi="宋体" w:eastAsia="宋体" w:cs="宋体"/>
                <w:kern w:val="0"/>
                <w:sz w:val="24"/>
                <w:szCs w:val="24"/>
              </w:rPr>
            </w:pPr>
            <w:r>
              <w:rPr>
                <w:rFonts w:hint="eastAsia" w:ascii="宋体" w:hAnsi="宋体" w:eastAsia="宋体" w:cs="宋体"/>
                <w:kern w:val="0"/>
                <w:sz w:val="24"/>
                <w:szCs w:val="24"/>
              </w:rPr>
              <w:t>2分</w:t>
            </w:r>
          </w:p>
        </w:tc>
      </w:tr>
      <w:tr w14:paraId="14805FE3">
        <w:tblPrEx>
          <w:tblCellMar>
            <w:top w:w="0" w:type="dxa"/>
            <w:left w:w="108" w:type="dxa"/>
            <w:bottom w:w="0" w:type="dxa"/>
            <w:right w:w="108" w:type="dxa"/>
          </w:tblCellMar>
        </w:tblPrEx>
        <w:trPr>
          <w:trHeight w:val="841" w:hRule="atLeast"/>
        </w:trPr>
        <w:tc>
          <w:tcPr>
            <w:tcW w:w="1079" w:type="dxa"/>
            <w:vMerge w:val="continue"/>
            <w:tcBorders>
              <w:top w:val="single" w:color="000000" w:sz="4" w:space="0"/>
              <w:left w:val="single" w:color="000000" w:sz="4" w:space="0"/>
              <w:bottom w:val="nil"/>
              <w:right w:val="single" w:color="000000" w:sz="4" w:space="0"/>
            </w:tcBorders>
            <w:shd w:val="clear" w:color="auto" w:fill="auto"/>
            <w:vAlign w:val="center"/>
          </w:tcPr>
          <w:p w14:paraId="7D5B4341">
            <w:pPr>
              <w:widowControl/>
              <w:jc w:val="left"/>
              <w:rPr>
                <w:rFonts w:ascii="宋体" w:hAnsi="宋体" w:eastAsia="宋体" w:cs="宋体"/>
                <w:kern w:val="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EE9D0">
            <w:pPr>
              <w:widowControl/>
              <w:jc w:val="left"/>
              <w:rPr>
                <w:rFonts w:ascii="宋体" w:hAnsi="宋体" w:eastAsia="宋体" w:cs="宋体"/>
                <w:kern w:val="0"/>
                <w:sz w:val="24"/>
                <w:szCs w:val="24"/>
              </w:rPr>
            </w:pPr>
            <w:r>
              <w:rPr>
                <w:rFonts w:hint="eastAsia" w:ascii="宋体" w:hAnsi="宋体" w:eastAsia="宋体" w:cs="宋体"/>
                <w:kern w:val="0"/>
                <w:sz w:val="24"/>
                <w:szCs w:val="24"/>
              </w:rPr>
              <w:t>项目实施能力</w:t>
            </w:r>
          </w:p>
        </w:tc>
        <w:tc>
          <w:tcPr>
            <w:tcW w:w="4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3E668">
            <w:pPr>
              <w:widowControl/>
              <w:jc w:val="left"/>
              <w:rPr>
                <w:rFonts w:ascii="宋体" w:hAnsi="宋体" w:eastAsia="宋体" w:cs="宋体"/>
                <w:kern w:val="0"/>
                <w:sz w:val="24"/>
                <w:szCs w:val="24"/>
              </w:rPr>
            </w:pPr>
            <w:r>
              <w:rPr>
                <w:rFonts w:hint="eastAsia" w:ascii="宋体" w:hAnsi="宋体" w:eastAsia="宋体" w:cs="宋体"/>
                <w:kern w:val="0"/>
                <w:sz w:val="24"/>
                <w:szCs w:val="24"/>
              </w:rPr>
              <w:t>根据项目实施方案计划能否保证项目顺利完成，包括样式设计、系统对接、密钥灌装、银联送检、发卡测试等环节，对方案计划的涉及费用、完整性、合理性、先进性、效率等方面对采购人的有利性等情况打分。优秀1</w:t>
            </w:r>
            <w:r>
              <w:rPr>
                <w:rFonts w:ascii="宋体" w:hAnsi="宋体" w:eastAsia="宋体" w:cs="宋体"/>
                <w:kern w:val="0"/>
                <w:sz w:val="24"/>
                <w:szCs w:val="24"/>
              </w:rPr>
              <w:t>3</w:t>
            </w:r>
            <w:r>
              <w:rPr>
                <w:rFonts w:hint="eastAsia" w:ascii="宋体" w:hAnsi="宋体" w:eastAsia="宋体" w:cs="宋体"/>
                <w:kern w:val="0"/>
                <w:sz w:val="24"/>
                <w:szCs w:val="24"/>
              </w:rPr>
              <w:t>-1</w:t>
            </w:r>
            <w:r>
              <w:rPr>
                <w:rFonts w:ascii="宋体" w:hAnsi="宋体" w:eastAsia="宋体" w:cs="宋体"/>
                <w:kern w:val="0"/>
                <w:sz w:val="24"/>
                <w:szCs w:val="24"/>
              </w:rPr>
              <w:t>8</w:t>
            </w:r>
            <w:r>
              <w:rPr>
                <w:rFonts w:hint="eastAsia" w:ascii="宋体" w:hAnsi="宋体" w:eastAsia="宋体" w:cs="宋体"/>
                <w:kern w:val="0"/>
                <w:sz w:val="24"/>
                <w:szCs w:val="24"/>
              </w:rPr>
              <w:t>分；良好</w:t>
            </w:r>
            <w:r>
              <w:rPr>
                <w:rFonts w:ascii="宋体" w:hAnsi="宋体" w:eastAsia="宋体" w:cs="宋体"/>
                <w:kern w:val="0"/>
                <w:sz w:val="24"/>
                <w:szCs w:val="24"/>
              </w:rPr>
              <w:t>7</w:t>
            </w:r>
            <w:r>
              <w:rPr>
                <w:rFonts w:hint="eastAsia" w:ascii="宋体" w:hAnsi="宋体" w:eastAsia="宋体" w:cs="宋体"/>
                <w:kern w:val="0"/>
                <w:sz w:val="24"/>
                <w:szCs w:val="24"/>
              </w:rPr>
              <w:t>-1</w:t>
            </w:r>
            <w:r>
              <w:rPr>
                <w:rFonts w:ascii="宋体" w:hAnsi="宋体" w:eastAsia="宋体" w:cs="宋体"/>
                <w:kern w:val="0"/>
                <w:sz w:val="24"/>
                <w:szCs w:val="24"/>
              </w:rPr>
              <w:t>2</w:t>
            </w:r>
            <w:r>
              <w:rPr>
                <w:rFonts w:hint="eastAsia" w:ascii="宋体" w:hAnsi="宋体" w:eastAsia="宋体" w:cs="宋体"/>
                <w:kern w:val="0"/>
                <w:sz w:val="24"/>
                <w:szCs w:val="24"/>
              </w:rPr>
              <w:t>分；一般0-</w:t>
            </w:r>
            <w:r>
              <w:rPr>
                <w:rFonts w:ascii="宋体" w:hAnsi="宋体" w:eastAsia="宋体" w:cs="宋体"/>
                <w:kern w:val="0"/>
                <w:sz w:val="24"/>
                <w:szCs w:val="24"/>
              </w:rPr>
              <w:t>6</w:t>
            </w:r>
            <w:r>
              <w:rPr>
                <w:rFonts w:hint="eastAsia" w:ascii="宋体" w:hAnsi="宋体" w:eastAsia="宋体" w:cs="宋体"/>
                <w:kern w:val="0"/>
                <w:sz w:val="24"/>
                <w:szCs w:val="24"/>
              </w:rPr>
              <w:t>分。</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E173A">
            <w:pPr>
              <w:widowControl/>
              <w:jc w:val="left"/>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8</w:t>
            </w:r>
            <w:r>
              <w:rPr>
                <w:rFonts w:hint="eastAsia" w:ascii="宋体" w:hAnsi="宋体" w:eastAsia="宋体" w:cs="宋体"/>
                <w:kern w:val="0"/>
                <w:sz w:val="24"/>
                <w:szCs w:val="24"/>
              </w:rPr>
              <w:t>分</w:t>
            </w:r>
          </w:p>
        </w:tc>
      </w:tr>
      <w:tr w14:paraId="77368522">
        <w:tblPrEx>
          <w:tblCellMar>
            <w:top w:w="0" w:type="dxa"/>
            <w:left w:w="108" w:type="dxa"/>
            <w:bottom w:w="0" w:type="dxa"/>
            <w:right w:w="108" w:type="dxa"/>
          </w:tblCellMar>
        </w:tblPrEx>
        <w:trPr>
          <w:trHeight w:val="841" w:hRule="atLeast"/>
        </w:trPr>
        <w:tc>
          <w:tcPr>
            <w:tcW w:w="1079" w:type="dxa"/>
            <w:vMerge w:val="continue"/>
            <w:tcBorders>
              <w:top w:val="single" w:color="000000" w:sz="4" w:space="0"/>
              <w:left w:val="single" w:color="000000" w:sz="4" w:space="0"/>
              <w:bottom w:val="nil"/>
              <w:right w:val="single" w:color="000000" w:sz="4" w:space="0"/>
            </w:tcBorders>
            <w:shd w:val="clear" w:color="auto" w:fill="auto"/>
            <w:vAlign w:val="center"/>
          </w:tcPr>
          <w:p w14:paraId="6C4AF5D5">
            <w:pPr>
              <w:widowControl/>
              <w:jc w:val="left"/>
              <w:rPr>
                <w:rFonts w:ascii="宋体" w:hAnsi="宋体" w:eastAsia="宋体" w:cs="宋体"/>
                <w:kern w:val="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ABB0C">
            <w:pPr>
              <w:widowControl/>
              <w:jc w:val="left"/>
              <w:rPr>
                <w:rFonts w:ascii="宋体" w:hAnsi="宋体" w:eastAsia="宋体" w:cs="宋体"/>
                <w:kern w:val="0"/>
                <w:sz w:val="24"/>
                <w:szCs w:val="24"/>
              </w:rPr>
            </w:pPr>
            <w:r>
              <w:rPr>
                <w:rFonts w:hint="eastAsia" w:ascii="宋体" w:hAnsi="宋体" w:eastAsia="宋体" w:cs="宋体"/>
                <w:kern w:val="0"/>
                <w:sz w:val="24"/>
                <w:szCs w:val="24"/>
              </w:rPr>
              <w:t>售后服务能力</w:t>
            </w:r>
          </w:p>
        </w:tc>
        <w:tc>
          <w:tcPr>
            <w:tcW w:w="4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6950C">
            <w:pPr>
              <w:widowControl/>
              <w:jc w:val="left"/>
              <w:rPr>
                <w:rFonts w:ascii="宋体" w:hAnsi="宋体" w:eastAsia="宋体" w:cs="宋体"/>
                <w:kern w:val="0"/>
                <w:sz w:val="24"/>
                <w:szCs w:val="24"/>
              </w:rPr>
            </w:pPr>
            <w:r>
              <w:rPr>
                <w:rFonts w:hint="eastAsia" w:ascii="宋体" w:hAnsi="宋体" w:eastAsia="宋体" w:cs="宋体"/>
                <w:kern w:val="0"/>
                <w:sz w:val="24"/>
                <w:szCs w:val="24"/>
              </w:rPr>
              <w:t>根据投标人提供的售后服务方案打分，包括供货周期保障措施、应急处理措施、故障的响应时间、解决故障的时间、售后服务队伍，突发状况的解决、培训服务及其他增值服务等方面进行综合评分：优秀得4-5分；良好得2-3分；一般得0-1分。</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0D776">
            <w:pPr>
              <w:widowControl/>
              <w:jc w:val="left"/>
              <w:rPr>
                <w:rFonts w:ascii="宋体" w:hAnsi="宋体" w:eastAsia="宋体" w:cs="宋体"/>
                <w:kern w:val="0"/>
                <w:sz w:val="24"/>
                <w:szCs w:val="24"/>
              </w:rPr>
            </w:pPr>
            <w:r>
              <w:rPr>
                <w:rFonts w:hint="eastAsia" w:ascii="宋体" w:hAnsi="宋体" w:eastAsia="宋体" w:cs="宋体"/>
                <w:kern w:val="0"/>
                <w:sz w:val="24"/>
                <w:szCs w:val="24"/>
              </w:rPr>
              <w:t>5分</w:t>
            </w:r>
          </w:p>
        </w:tc>
      </w:tr>
      <w:tr w14:paraId="3A87AA4D">
        <w:tblPrEx>
          <w:tblCellMar>
            <w:top w:w="0" w:type="dxa"/>
            <w:left w:w="108" w:type="dxa"/>
            <w:bottom w:w="0" w:type="dxa"/>
            <w:right w:w="108" w:type="dxa"/>
          </w:tblCellMar>
        </w:tblPrEx>
        <w:trPr>
          <w:trHeight w:val="285"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E5D32">
            <w:pPr>
              <w:widowControl/>
              <w:jc w:val="left"/>
              <w:rPr>
                <w:rFonts w:ascii="宋体" w:hAnsi="宋体" w:eastAsia="宋体" w:cs="宋体"/>
                <w:kern w:val="0"/>
                <w:sz w:val="24"/>
                <w:szCs w:val="24"/>
              </w:rPr>
            </w:pPr>
            <w:r>
              <w:rPr>
                <w:rFonts w:hint="eastAsia" w:ascii="宋体" w:hAnsi="宋体" w:eastAsia="宋体" w:cs="宋体"/>
                <w:kern w:val="0"/>
                <w:sz w:val="24"/>
                <w:szCs w:val="24"/>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9F3BF">
            <w:pPr>
              <w:widowControl/>
              <w:jc w:val="left"/>
              <w:rPr>
                <w:rFonts w:ascii="宋体" w:hAnsi="宋体" w:eastAsia="宋体" w:cs="宋体"/>
                <w:kern w:val="0"/>
                <w:sz w:val="24"/>
                <w:szCs w:val="24"/>
              </w:rPr>
            </w:pPr>
          </w:p>
        </w:tc>
        <w:tc>
          <w:tcPr>
            <w:tcW w:w="4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8C327">
            <w:pPr>
              <w:widowControl/>
              <w:jc w:val="left"/>
              <w:rPr>
                <w:rFonts w:ascii="Times New Roman" w:hAnsi="Times New Roman" w:eastAsia="Times New Roman" w:cs="Times New Roman"/>
                <w:kern w:val="0"/>
                <w:sz w:val="24"/>
                <w:szCs w:val="24"/>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36934">
            <w:pPr>
              <w:widowControl/>
              <w:jc w:val="left"/>
              <w:rPr>
                <w:rFonts w:ascii="宋体" w:hAnsi="宋体" w:eastAsia="宋体" w:cs="宋体"/>
                <w:kern w:val="0"/>
                <w:sz w:val="24"/>
                <w:szCs w:val="24"/>
              </w:rPr>
            </w:pPr>
            <w:r>
              <w:rPr>
                <w:rFonts w:hint="eastAsia" w:ascii="宋体" w:hAnsi="宋体" w:eastAsia="宋体" w:cs="宋体"/>
                <w:kern w:val="0"/>
                <w:sz w:val="24"/>
                <w:szCs w:val="24"/>
              </w:rPr>
              <w:t>100分</w:t>
            </w:r>
          </w:p>
        </w:tc>
      </w:tr>
    </w:tbl>
    <w:p w14:paraId="1E61AB49">
      <w:pPr>
        <w:pStyle w:val="2"/>
        <w:rPr>
          <w:lang w:val="en-US"/>
        </w:rPr>
      </w:pPr>
    </w:p>
    <w:p w14:paraId="504BF374">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.3.3</w:t>
      </w:r>
      <w:r>
        <w:rPr>
          <w:rFonts w:hint="eastAsia" w:asciiTheme="minorEastAsia" w:hAnsiTheme="minorEastAsia" w:eastAsiaTheme="minorEastAsia"/>
          <w:sz w:val="24"/>
        </w:rPr>
        <w:t>分值汇总</w:t>
      </w:r>
    </w:p>
    <w:p w14:paraId="0CC779D8">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w:t>
      </w:r>
      <w:r>
        <w:rPr>
          <w:rFonts w:asciiTheme="minorEastAsia" w:hAnsiTheme="minorEastAsia" w:eastAsiaTheme="minorEastAsia"/>
          <w:sz w:val="24"/>
        </w:rPr>
        <w:t>评标委员会各成员应当独立对每个</w:t>
      </w:r>
      <w:r>
        <w:rPr>
          <w:rFonts w:hint="eastAsia" w:asciiTheme="minorEastAsia" w:hAnsiTheme="minorEastAsia" w:eastAsiaTheme="minorEastAsia"/>
          <w:sz w:val="24"/>
        </w:rPr>
        <w:t>有效</w:t>
      </w:r>
      <w:r>
        <w:rPr>
          <w:rFonts w:asciiTheme="minorEastAsia" w:hAnsiTheme="minorEastAsia" w:eastAsiaTheme="minorEastAsia"/>
          <w:sz w:val="24"/>
        </w:rPr>
        <w:t>投标人的投标文件进行评</w:t>
      </w:r>
      <w:r>
        <w:rPr>
          <w:rFonts w:hint="eastAsia" w:asciiTheme="minorEastAsia" w:hAnsiTheme="minorEastAsia" w:eastAsiaTheme="minorEastAsia"/>
          <w:sz w:val="24"/>
        </w:rPr>
        <w:t>分</w:t>
      </w:r>
      <w:r>
        <w:rPr>
          <w:rFonts w:asciiTheme="minorEastAsia" w:hAnsiTheme="minorEastAsia" w:eastAsiaTheme="minorEastAsia"/>
          <w:sz w:val="24"/>
        </w:rPr>
        <w:t>，并汇总每个投</w:t>
      </w:r>
      <w:r>
        <w:rPr>
          <w:rFonts w:hint="eastAsia" w:asciiTheme="minorEastAsia" w:hAnsiTheme="minorEastAsia" w:eastAsiaTheme="minorEastAsia"/>
          <w:sz w:val="24"/>
        </w:rPr>
        <w:t>标人的得分。取各位评委评分之平均值，四舍五入保留至小数点后两位数，</w:t>
      </w:r>
      <w:r>
        <w:rPr>
          <w:rFonts w:asciiTheme="minorEastAsia" w:hAnsiTheme="minorEastAsia" w:eastAsiaTheme="minorEastAsia"/>
          <w:sz w:val="24"/>
        </w:rPr>
        <w:t>得到该投标</w:t>
      </w:r>
      <w:r>
        <w:rPr>
          <w:rFonts w:hint="eastAsia" w:asciiTheme="minorEastAsia" w:hAnsiTheme="minorEastAsia" w:eastAsiaTheme="minorEastAsia"/>
          <w:sz w:val="24"/>
        </w:rPr>
        <w:t>人</w:t>
      </w:r>
      <w:r>
        <w:rPr>
          <w:rFonts w:asciiTheme="minorEastAsia" w:hAnsiTheme="minorEastAsia" w:eastAsiaTheme="minorEastAsia"/>
          <w:sz w:val="24"/>
        </w:rPr>
        <w:t>的技术资信分</w:t>
      </w:r>
      <w:r>
        <w:rPr>
          <w:rFonts w:hint="eastAsia" w:asciiTheme="minorEastAsia" w:hAnsiTheme="minorEastAsia" w:eastAsiaTheme="minorEastAsia"/>
          <w:sz w:val="24"/>
        </w:rPr>
        <w:t>。</w:t>
      </w:r>
    </w:p>
    <w:p w14:paraId="5B99F8A2">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将投标</w:t>
      </w:r>
      <w:r>
        <w:rPr>
          <w:rFonts w:hint="eastAsia" w:asciiTheme="minorEastAsia" w:hAnsiTheme="minorEastAsia" w:eastAsiaTheme="minorEastAsia"/>
          <w:sz w:val="24"/>
        </w:rPr>
        <w:t>人</w:t>
      </w:r>
      <w:r>
        <w:rPr>
          <w:rFonts w:asciiTheme="minorEastAsia" w:hAnsiTheme="minorEastAsia" w:eastAsiaTheme="minorEastAsia"/>
          <w:sz w:val="24"/>
        </w:rPr>
        <w:t>的技术资信分加上根据上述标准计算出的价格分，即为该投标</w:t>
      </w:r>
      <w:r>
        <w:rPr>
          <w:rFonts w:hint="eastAsia" w:asciiTheme="minorEastAsia" w:hAnsiTheme="minorEastAsia" w:eastAsiaTheme="minorEastAsia"/>
          <w:sz w:val="24"/>
        </w:rPr>
        <w:t>人</w:t>
      </w:r>
      <w:r>
        <w:rPr>
          <w:rFonts w:asciiTheme="minorEastAsia" w:hAnsiTheme="minorEastAsia" w:eastAsiaTheme="minorEastAsia"/>
          <w:sz w:val="24"/>
        </w:rPr>
        <w:t>的综合总得分。</w:t>
      </w:r>
      <w:r>
        <w:rPr>
          <w:rFonts w:asciiTheme="minorEastAsia" w:hAnsiTheme="minorEastAsia" w:eastAsiaTheme="minorEastAsia"/>
          <w:sz w:val="24"/>
        </w:rPr>
        <w:br w:type="page"/>
      </w:r>
    </w:p>
    <w:p w14:paraId="3CE43C4A">
      <w:pPr>
        <w:spacing w:line="360" w:lineRule="auto"/>
        <w:jc w:val="center"/>
        <w:outlineLvl w:val="0"/>
        <w:rPr>
          <w:rFonts w:asciiTheme="minorEastAsia" w:hAnsiTheme="minorEastAsia" w:eastAsiaTheme="minorEastAsia"/>
          <w:b/>
          <w:sz w:val="28"/>
        </w:rPr>
      </w:pPr>
      <w:bookmarkStart w:id="47" w:name="_Toc4682"/>
      <w:r>
        <w:rPr>
          <w:rFonts w:hint="eastAsia" w:asciiTheme="minorEastAsia" w:hAnsiTheme="minorEastAsia" w:eastAsiaTheme="minorEastAsia"/>
          <w:b/>
          <w:sz w:val="28"/>
        </w:rPr>
        <w:t xml:space="preserve">第五章  </w:t>
      </w:r>
      <w:r>
        <w:rPr>
          <w:rFonts w:asciiTheme="minorEastAsia" w:hAnsiTheme="minorEastAsia" w:eastAsiaTheme="minorEastAsia"/>
          <w:b/>
          <w:sz w:val="28"/>
        </w:rPr>
        <w:t>采购合同</w:t>
      </w:r>
      <w:bookmarkEnd w:id="47"/>
    </w:p>
    <w:p w14:paraId="1AE9A9C4">
      <w:pPr>
        <w:pStyle w:val="2"/>
        <w:spacing w:after="0" w:line="360" w:lineRule="auto"/>
        <w:rPr>
          <w:rFonts w:ascii="宋体" w:hAnsi="宋体" w:eastAsia="宋体" w:cs="宋体"/>
          <w:b/>
          <w:bCs/>
          <w:spacing w:val="-20"/>
          <w:kern w:val="44"/>
          <w:sz w:val="24"/>
        </w:rPr>
      </w:pPr>
    </w:p>
    <w:p w14:paraId="50D138F3">
      <w:pPr>
        <w:spacing w:line="360" w:lineRule="auto"/>
        <w:rPr>
          <w:rFonts w:ascii="宋体" w:hAnsi="宋体" w:eastAsia="宋体" w:cs="宋体"/>
          <w:b/>
          <w:bCs/>
          <w:spacing w:val="-20"/>
          <w:kern w:val="44"/>
          <w:sz w:val="24"/>
          <w:szCs w:val="24"/>
        </w:rPr>
      </w:pPr>
    </w:p>
    <w:p w14:paraId="4899DE8D">
      <w:pPr>
        <w:spacing w:line="360" w:lineRule="auto"/>
        <w:jc w:val="center"/>
        <w:rPr>
          <w:rFonts w:ascii="宋体" w:hAnsi="宋体" w:eastAsia="宋体" w:cs="宋体"/>
          <w:sz w:val="24"/>
          <w:szCs w:val="24"/>
          <w:u w:val="single"/>
        </w:rPr>
      </w:pPr>
      <w:r>
        <w:rPr>
          <w:rFonts w:hint="eastAsia" w:ascii="宋体" w:hAnsi="宋体" w:eastAsia="宋体" w:cs="宋体"/>
          <w:sz w:val="24"/>
          <w:szCs w:val="24"/>
          <w:u w:val="single"/>
        </w:rPr>
        <w:t>宁波通商银行</w:t>
      </w:r>
      <w:r>
        <w:rPr>
          <w:rFonts w:ascii="宋体" w:hAnsi="宋体" w:eastAsia="宋体" w:cs="宋体"/>
          <w:sz w:val="24"/>
          <w:szCs w:val="24"/>
          <w:u w:val="single"/>
        </w:rPr>
        <w:t>2026年</w:t>
      </w:r>
      <w:r>
        <w:rPr>
          <w:rFonts w:hint="eastAsia" w:ascii="宋体" w:hAnsi="宋体" w:eastAsia="宋体" w:cs="宋体"/>
          <w:sz w:val="24"/>
          <w:szCs w:val="24"/>
          <w:u w:val="single"/>
        </w:rPr>
        <w:t>金融IC借记卡制卡及个人化服务框架采购项目框架协议</w:t>
      </w:r>
    </w:p>
    <w:p w14:paraId="0582A3FD">
      <w:pPr>
        <w:spacing w:line="360" w:lineRule="auto"/>
        <w:jc w:val="center"/>
        <w:rPr>
          <w:rFonts w:cs="Times New Roman" w:asciiTheme="minorEastAsia" w:hAnsiTheme="minorEastAsia" w:eastAsiaTheme="minorEastAsia"/>
          <w:i/>
          <w:iCs/>
          <w:color w:val="000000" w:themeColor="text1"/>
          <w:sz w:val="24"/>
          <w:szCs w:val="24"/>
          <w14:textFill>
            <w14:solidFill>
              <w14:schemeClr w14:val="tx1"/>
            </w14:solidFill>
          </w14:textFill>
        </w:rPr>
      </w:pPr>
      <w:r>
        <w:rPr>
          <w:rFonts w:hint="eastAsia" w:ascii="宋体" w:hAnsi="宋体" w:eastAsia="宋体" w:cs="宋体"/>
          <w:sz w:val="24"/>
          <w:szCs w:val="24"/>
          <w:u w:val="single"/>
        </w:rPr>
        <w:t>（投标人在投标时无需提交本项，待入围后由采购人统一组织签署）</w:t>
      </w:r>
    </w:p>
    <w:p w14:paraId="5A1E17CC">
      <w:pPr>
        <w:spacing w:line="360" w:lineRule="auto"/>
        <w:rPr>
          <w:rFonts w:ascii="宋体" w:hAnsi="宋体" w:eastAsia="宋体" w:cs="宋体"/>
          <w:sz w:val="24"/>
          <w:szCs w:val="24"/>
        </w:rPr>
      </w:pPr>
    </w:p>
    <w:p w14:paraId="435C2ED4">
      <w:pPr>
        <w:pStyle w:val="2"/>
        <w:rPr>
          <w:rFonts w:ascii="宋体" w:hAnsi="宋体" w:eastAsia="宋体"/>
          <w:lang w:val="en-US"/>
        </w:rPr>
      </w:pPr>
    </w:p>
    <w:p w14:paraId="59B221C3">
      <w:pPr>
        <w:pStyle w:val="2"/>
        <w:spacing w:line="360" w:lineRule="auto"/>
        <w:ind w:firstLine="480" w:firstLineChars="200"/>
        <w:rPr>
          <w:rFonts w:ascii="宋体" w:hAnsi="宋体" w:eastAsia="宋体" w:cs="宋体"/>
          <w:sz w:val="24"/>
        </w:rPr>
      </w:pPr>
      <w:r>
        <w:rPr>
          <w:rFonts w:hint="eastAsia" w:ascii="宋体" w:hAnsi="宋体" w:eastAsia="宋体"/>
          <w:sz w:val="24"/>
        </w:rPr>
        <w:t>甲方就宁波通商银行</w:t>
      </w:r>
      <w:bookmarkStart w:id="48" w:name="_Hlk231225914"/>
      <w:r>
        <w:rPr>
          <w:rFonts w:hint="eastAsia" w:ascii="宋体" w:hAnsi="宋体" w:eastAsia="宋体"/>
          <w:sz w:val="24"/>
        </w:rPr>
        <w:t>2026年</w:t>
      </w:r>
      <w:bookmarkEnd w:id="48"/>
      <w:r>
        <w:rPr>
          <w:rFonts w:hint="eastAsia" w:ascii="宋体" w:hAnsi="宋体" w:eastAsia="宋体"/>
          <w:sz w:val="24"/>
        </w:rPr>
        <w:t>金融</w:t>
      </w:r>
      <w:r>
        <w:rPr>
          <w:rFonts w:ascii="宋体" w:hAnsi="宋体" w:eastAsia="宋体"/>
          <w:sz w:val="24"/>
        </w:rPr>
        <w:t>IC借记卡制卡及个人化服务框架采购项目框架协议</w:t>
      </w:r>
      <w:r>
        <w:rPr>
          <w:rFonts w:hint="eastAsia" w:ascii="宋体" w:hAnsi="宋体" w:eastAsia="宋体"/>
          <w:sz w:val="24"/>
        </w:rPr>
        <w:t>（项目编号：XXXX）（以下简称本项目）进行公开招标。经项目评标委员会评定，确定乙方为本项目第一阶段入围供应商。甲乙双方根据《中华人民共和国民法典》等相关法律、规章，以及本项目招标文件及其相关文件的规定，经平等协商，自愿就本项目相关事项达成一致，并签订本框架协议。</w:t>
      </w:r>
    </w:p>
    <w:p w14:paraId="21C62376">
      <w:pPr>
        <w:pStyle w:val="2"/>
        <w:spacing w:line="360" w:lineRule="auto"/>
        <w:ind w:firstLine="480" w:firstLineChars="200"/>
        <w:rPr>
          <w:rFonts w:ascii="宋体" w:hAnsi="宋体" w:eastAsia="宋体"/>
          <w:sz w:val="24"/>
        </w:rPr>
      </w:pPr>
      <w:r>
        <w:rPr>
          <w:rFonts w:hint="eastAsia" w:ascii="宋体" w:hAnsi="宋体" w:eastAsia="宋体"/>
          <w:sz w:val="24"/>
        </w:rPr>
        <w:t xml:space="preserve">1.协议的组成 </w:t>
      </w:r>
    </w:p>
    <w:p w14:paraId="494B35BE">
      <w:pPr>
        <w:pStyle w:val="2"/>
        <w:spacing w:line="360" w:lineRule="auto"/>
        <w:ind w:firstLine="480" w:firstLineChars="200"/>
        <w:rPr>
          <w:rFonts w:ascii="宋体" w:hAnsi="宋体" w:eastAsia="宋体"/>
          <w:sz w:val="24"/>
        </w:rPr>
      </w:pPr>
      <w:r>
        <w:rPr>
          <w:rFonts w:hint="eastAsia" w:ascii="宋体" w:hAnsi="宋体" w:eastAsia="宋体"/>
          <w:sz w:val="24"/>
        </w:rPr>
        <w:t xml:space="preserve">1.1 下列文件应作为本协议的组成部分： </w:t>
      </w:r>
    </w:p>
    <w:p w14:paraId="655985A0">
      <w:pPr>
        <w:pStyle w:val="2"/>
        <w:spacing w:line="360" w:lineRule="auto"/>
        <w:ind w:firstLine="480" w:firstLineChars="200"/>
        <w:rPr>
          <w:rFonts w:ascii="宋体" w:hAnsi="宋体" w:eastAsia="宋体"/>
          <w:sz w:val="24"/>
        </w:rPr>
      </w:pPr>
      <w:r>
        <w:rPr>
          <w:rFonts w:hint="eastAsia" w:ascii="宋体" w:hAnsi="宋体" w:eastAsia="宋体"/>
          <w:sz w:val="24"/>
        </w:rPr>
        <w:t xml:space="preserve">1.1.1 本协议条款 </w:t>
      </w:r>
    </w:p>
    <w:p w14:paraId="36682F88">
      <w:pPr>
        <w:pStyle w:val="2"/>
        <w:spacing w:line="360" w:lineRule="auto"/>
        <w:ind w:firstLine="480" w:firstLineChars="200"/>
        <w:rPr>
          <w:rFonts w:ascii="宋体" w:hAnsi="宋体" w:eastAsia="宋体"/>
          <w:sz w:val="24"/>
        </w:rPr>
      </w:pPr>
      <w:r>
        <w:rPr>
          <w:rFonts w:hint="eastAsia" w:ascii="宋体" w:hAnsi="宋体" w:eastAsia="宋体"/>
          <w:sz w:val="24"/>
        </w:rPr>
        <w:t xml:space="preserve">1.1.2 投标文件澄清及投标文件 </w:t>
      </w:r>
    </w:p>
    <w:p w14:paraId="55F4372B">
      <w:pPr>
        <w:pStyle w:val="2"/>
        <w:spacing w:line="360" w:lineRule="auto"/>
        <w:ind w:firstLine="480" w:firstLineChars="200"/>
        <w:rPr>
          <w:rFonts w:ascii="宋体" w:hAnsi="宋体" w:eastAsia="宋体"/>
          <w:sz w:val="24"/>
        </w:rPr>
      </w:pPr>
      <w:r>
        <w:rPr>
          <w:rFonts w:hint="eastAsia" w:ascii="宋体" w:hAnsi="宋体" w:eastAsia="宋体"/>
          <w:sz w:val="24"/>
        </w:rPr>
        <w:t xml:space="preserve">1.1.3 采购文件澄清及采购文件 </w:t>
      </w:r>
    </w:p>
    <w:p w14:paraId="14F54065">
      <w:pPr>
        <w:pStyle w:val="2"/>
        <w:spacing w:line="360" w:lineRule="auto"/>
        <w:ind w:firstLine="480" w:firstLineChars="200"/>
        <w:rPr>
          <w:rFonts w:ascii="宋体" w:hAnsi="宋体" w:eastAsia="宋体"/>
          <w:sz w:val="24"/>
        </w:rPr>
      </w:pPr>
      <w:r>
        <w:rPr>
          <w:rFonts w:hint="eastAsia" w:ascii="宋体" w:hAnsi="宋体" w:eastAsia="宋体"/>
          <w:sz w:val="24"/>
        </w:rPr>
        <w:t xml:space="preserve">1.1.4 入围（成交）通知书 </w:t>
      </w:r>
    </w:p>
    <w:p w14:paraId="1FB41904">
      <w:pPr>
        <w:pStyle w:val="2"/>
        <w:spacing w:line="360" w:lineRule="auto"/>
        <w:ind w:firstLine="480" w:firstLineChars="200"/>
        <w:rPr>
          <w:rFonts w:ascii="宋体" w:hAnsi="宋体" w:eastAsia="宋体"/>
          <w:sz w:val="24"/>
        </w:rPr>
      </w:pPr>
      <w:r>
        <w:rPr>
          <w:rFonts w:hint="eastAsia" w:ascii="宋体" w:hAnsi="宋体" w:eastAsia="宋体"/>
          <w:sz w:val="24"/>
        </w:rPr>
        <w:t xml:space="preserve">1.1.5 形成协议的其他有关文件 </w:t>
      </w:r>
    </w:p>
    <w:p w14:paraId="5B307C61">
      <w:pPr>
        <w:pStyle w:val="2"/>
        <w:spacing w:line="360" w:lineRule="auto"/>
        <w:ind w:firstLine="480" w:firstLineChars="200"/>
        <w:rPr>
          <w:rFonts w:ascii="宋体" w:hAnsi="宋体" w:eastAsia="宋体"/>
          <w:sz w:val="24"/>
        </w:rPr>
      </w:pPr>
      <w:r>
        <w:rPr>
          <w:rFonts w:hint="eastAsia" w:ascii="宋体" w:hAnsi="宋体" w:eastAsia="宋体"/>
          <w:sz w:val="24"/>
        </w:rPr>
        <w:t xml:space="preserve">1.2 上述文件互为补充和解释，如有不清或相互矛盾之处，以所列顺序在前的为准，但甲、乙双方有特别约定的除外。 </w:t>
      </w:r>
    </w:p>
    <w:p w14:paraId="6E206B7A">
      <w:pPr>
        <w:pStyle w:val="2"/>
        <w:spacing w:line="360" w:lineRule="auto"/>
        <w:ind w:firstLine="480" w:firstLineChars="200"/>
        <w:rPr>
          <w:rFonts w:ascii="宋体" w:hAnsi="宋体" w:eastAsia="宋体"/>
          <w:sz w:val="24"/>
        </w:rPr>
      </w:pPr>
      <w:r>
        <w:rPr>
          <w:rFonts w:hint="eastAsia" w:ascii="宋体" w:hAnsi="宋体" w:eastAsia="宋体"/>
          <w:sz w:val="24"/>
        </w:rPr>
        <w:t xml:space="preserve">2.协议承诺 </w:t>
      </w:r>
    </w:p>
    <w:p w14:paraId="6CC82A25">
      <w:pPr>
        <w:pStyle w:val="2"/>
        <w:spacing w:line="360" w:lineRule="auto"/>
        <w:ind w:firstLine="480" w:firstLineChars="200"/>
        <w:rPr>
          <w:rFonts w:ascii="宋体" w:hAnsi="宋体" w:eastAsia="宋体"/>
          <w:sz w:val="24"/>
        </w:rPr>
      </w:pPr>
      <w:r>
        <w:rPr>
          <w:rFonts w:hint="eastAsia" w:ascii="宋体" w:hAnsi="宋体" w:eastAsia="宋体"/>
          <w:sz w:val="24"/>
        </w:rPr>
        <w:t>2.1 甲方确定乙方为宁波通商银行</w:t>
      </w:r>
      <w:r>
        <w:rPr>
          <w:rFonts w:ascii="宋体" w:hAnsi="宋体" w:eastAsia="宋体"/>
          <w:sz w:val="24"/>
        </w:rPr>
        <w:t>2026年金融IC借记卡制卡及个人化服务项目框架</w:t>
      </w:r>
      <w:r>
        <w:rPr>
          <w:rFonts w:hint="eastAsia" w:ascii="宋体" w:hAnsi="宋体" w:eastAsia="宋体"/>
          <w:sz w:val="24"/>
        </w:rPr>
        <w:t>采购项目成交供应商。协议期内，乙方可依法承接宁波通商银行总行及其分支机构的金融</w:t>
      </w:r>
      <w:r>
        <w:rPr>
          <w:rFonts w:ascii="宋体" w:hAnsi="宋体" w:eastAsia="宋体"/>
          <w:sz w:val="24"/>
        </w:rPr>
        <w:t>IC借记卡制卡及个人化服务</w:t>
      </w:r>
      <w:r>
        <w:rPr>
          <w:rFonts w:hint="eastAsia" w:ascii="宋体" w:hAnsi="宋体" w:eastAsia="宋体"/>
          <w:sz w:val="24"/>
        </w:rPr>
        <w:t>采购。本期框架协议执行在签署框架协议后，由分行以订单形式下单，并按订单结算的方式。</w:t>
      </w:r>
    </w:p>
    <w:p w14:paraId="5605ACF9">
      <w:pPr>
        <w:pStyle w:val="2"/>
        <w:spacing w:line="360" w:lineRule="auto"/>
        <w:ind w:firstLine="480" w:firstLineChars="200"/>
        <w:rPr>
          <w:rFonts w:ascii="宋体" w:hAnsi="宋体" w:eastAsia="宋体"/>
          <w:sz w:val="24"/>
        </w:rPr>
      </w:pPr>
      <w:r>
        <w:rPr>
          <w:rFonts w:hint="eastAsia" w:ascii="宋体" w:hAnsi="宋体" w:eastAsia="宋体"/>
          <w:sz w:val="24"/>
        </w:rPr>
        <w:t>采购内容明细如下：</w:t>
      </w:r>
    </w:p>
    <w:tbl>
      <w:tblPr>
        <w:tblStyle w:val="22"/>
        <w:tblW w:w="8381" w:type="dxa"/>
        <w:tblInd w:w="93" w:type="dxa"/>
        <w:tblLayout w:type="autofit"/>
        <w:tblCellMar>
          <w:top w:w="0" w:type="dxa"/>
          <w:left w:w="108" w:type="dxa"/>
          <w:bottom w:w="0" w:type="dxa"/>
          <w:right w:w="108" w:type="dxa"/>
        </w:tblCellMar>
      </w:tblPr>
      <w:tblGrid>
        <w:gridCol w:w="2156"/>
        <w:gridCol w:w="3587"/>
        <w:gridCol w:w="2638"/>
      </w:tblGrid>
      <w:tr w14:paraId="6E43F625">
        <w:tblPrEx>
          <w:tblCellMar>
            <w:top w:w="0" w:type="dxa"/>
            <w:left w:w="108" w:type="dxa"/>
            <w:bottom w:w="0" w:type="dxa"/>
            <w:right w:w="108" w:type="dxa"/>
          </w:tblCellMar>
        </w:tblPrEx>
        <w:trPr>
          <w:trHeight w:val="540" w:hRule="atLeast"/>
        </w:trPr>
        <w:tc>
          <w:tcPr>
            <w:tcW w:w="2156" w:type="dxa"/>
            <w:tcBorders>
              <w:top w:val="single" w:color="000000" w:sz="4" w:space="0"/>
              <w:left w:val="single" w:color="000000" w:sz="4" w:space="0"/>
              <w:bottom w:val="single" w:color="000000" w:sz="4" w:space="0"/>
              <w:right w:val="single" w:color="000000" w:sz="4" w:space="0"/>
            </w:tcBorders>
            <w:vAlign w:val="center"/>
          </w:tcPr>
          <w:p w14:paraId="004B85E4">
            <w:pPr>
              <w:widowControl/>
              <w:jc w:val="left"/>
              <w:textAlignment w:val="center"/>
              <w:rPr>
                <w:rFonts w:ascii="宋体" w:hAnsi="宋体" w:eastAsia="宋体" w:cs="Times New Roman"/>
                <w:b/>
                <w:bCs/>
                <w:color w:val="000000"/>
                <w:sz w:val="24"/>
                <w:szCs w:val="24"/>
              </w:rPr>
            </w:pPr>
            <w:r>
              <w:rPr>
                <w:rFonts w:hint="eastAsia" w:ascii="宋体" w:hAnsi="宋体" w:eastAsia="宋体" w:cs="Times New Roman"/>
                <w:b/>
                <w:bCs/>
                <w:color w:val="000000"/>
                <w:kern w:val="0"/>
                <w:sz w:val="24"/>
                <w:szCs w:val="24"/>
              </w:rPr>
              <w:t>明细</w:t>
            </w:r>
          </w:p>
        </w:tc>
        <w:tc>
          <w:tcPr>
            <w:tcW w:w="3587" w:type="dxa"/>
            <w:tcBorders>
              <w:top w:val="single" w:color="000000" w:sz="4" w:space="0"/>
              <w:left w:val="nil"/>
              <w:bottom w:val="single" w:color="000000" w:sz="4" w:space="0"/>
              <w:right w:val="single" w:color="000000" w:sz="4" w:space="0"/>
            </w:tcBorders>
            <w:vAlign w:val="center"/>
          </w:tcPr>
          <w:p w14:paraId="6C5C1BAC">
            <w:pPr>
              <w:widowControl/>
              <w:jc w:val="left"/>
              <w:textAlignment w:val="center"/>
              <w:rPr>
                <w:rFonts w:ascii="宋体" w:hAnsi="宋体" w:eastAsia="宋体" w:cs="Times New Roman"/>
                <w:b/>
                <w:bCs/>
                <w:color w:val="000000"/>
                <w:sz w:val="24"/>
                <w:szCs w:val="24"/>
              </w:rPr>
            </w:pPr>
            <w:r>
              <w:rPr>
                <w:rFonts w:hint="eastAsia" w:ascii="宋体" w:hAnsi="宋体" w:eastAsia="宋体" w:cs="Times New Roman"/>
                <w:b/>
                <w:bCs/>
                <w:color w:val="000000"/>
                <w:kern w:val="0"/>
                <w:sz w:val="24"/>
                <w:szCs w:val="24"/>
              </w:rPr>
              <w:t>制作要求</w:t>
            </w:r>
          </w:p>
        </w:tc>
        <w:tc>
          <w:tcPr>
            <w:tcW w:w="2638" w:type="dxa"/>
            <w:tcBorders>
              <w:top w:val="single" w:color="000000" w:sz="4" w:space="0"/>
              <w:left w:val="nil"/>
              <w:bottom w:val="single" w:color="000000" w:sz="4" w:space="0"/>
              <w:right w:val="single" w:color="000000" w:sz="4" w:space="0"/>
            </w:tcBorders>
            <w:vAlign w:val="center"/>
          </w:tcPr>
          <w:p w14:paraId="249E76E5">
            <w:pPr>
              <w:widowControl/>
              <w:jc w:val="left"/>
              <w:textAlignment w:val="center"/>
              <w:rPr>
                <w:rFonts w:ascii="宋体" w:hAnsi="宋体" w:eastAsia="宋体" w:cs="Times New Roman"/>
                <w:b/>
                <w:bCs/>
                <w:color w:val="000000"/>
                <w:sz w:val="24"/>
                <w:szCs w:val="24"/>
              </w:rPr>
            </w:pPr>
            <w:r>
              <w:rPr>
                <w:rFonts w:hint="eastAsia" w:ascii="宋体" w:hAnsi="宋体" w:eastAsia="宋体" w:cs="Times New Roman"/>
                <w:b/>
                <w:bCs/>
                <w:color w:val="000000"/>
                <w:kern w:val="0"/>
                <w:sz w:val="24"/>
                <w:szCs w:val="24"/>
              </w:rPr>
              <w:t>备注</w:t>
            </w:r>
          </w:p>
        </w:tc>
      </w:tr>
      <w:tr w14:paraId="40BAB92C">
        <w:tblPrEx>
          <w:tblCellMar>
            <w:top w:w="0" w:type="dxa"/>
            <w:left w:w="108" w:type="dxa"/>
            <w:bottom w:w="0" w:type="dxa"/>
            <w:right w:w="108" w:type="dxa"/>
          </w:tblCellMar>
        </w:tblPrEx>
        <w:trPr>
          <w:trHeight w:val="455" w:hRule="atLeast"/>
        </w:trPr>
        <w:tc>
          <w:tcPr>
            <w:tcW w:w="2156" w:type="dxa"/>
            <w:tcBorders>
              <w:top w:val="nil"/>
              <w:left w:val="single" w:color="000000" w:sz="4" w:space="0"/>
              <w:bottom w:val="single" w:color="000000" w:sz="4" w:space="0"/>
              <w:right w:val="single" w:color="000000" w:sz="4" w:space="0"/>
            </w:tcBorders>
            <w:vAlign w:val="center"/>
          </w:tcPr>
          <w:p w14:paraId="4046EA2B">
            <w:pPr>
              <w:widowControl/>
              <w:jc w:val="left"/>
              <w:textAlignment w:val="center"/>
              <w:rPr>
                <w:rFonts w:ascii="宋体" w:hAnsi="宋体" w:eastAsia="宋体" w:cs="Times New Roman"/>
                <w:color w:val="000000"/>
                <w:sz w:val="24"/>
                <w:szCs w:val="24"/>
              </w:rPr>
            </w:pPr>
            <w:r>
              <w:rPr>
                <w:rFonts w:hint="eastAsia" w:ascii="宋体" w:hAnsi="宋体" w:eastAsia="宋体" w:cs="Times New Roman"/>
                <w:color w:val="000000"/>
                <w:kern w:val="0"/>
                <w:sz w:val="24"/>
                <w:szCs w:val="24"/>
              </w:rPr>
              <w:t>借记卡制卡</w:t>
            </w:r>
          </w:p>
        </w:tc>
        <w:tc>
          <w:tcPr>
            <w:tcW w:w="3587" w:type="dxa"/>
            <w:tcBorders>
              <w:top w:val="nil"/>
              <w:left w:val="nil"/>
              <w:bottom w:val="single" w:color="000000" w:sz="4" w:space="0"/>
              <w:right w:val="single" w:color="000000" w:sz="4" w:space="0"/>
            </w:tcBorders>
            <w:vAlign w:val="center"/>
          </w:tcPr>
          <w:p w14:paraId="7B924FDB">
            <w:pPr>
              <w:widowControl/>
              <w:jc w:val="left"/>
              <w:textAlignment w:val="center"/>
              <w:rPr>
                <w:rFonts w:ascii="宋体" w:hAnsi="宋体" w:eastAsia="宋体" w:cs="Times New Roman"/>
                <w:color w:val="000000"/>
                <w:sz w:val="24"/>
                <w:szCs w:val="24"/>
              </w:rPr>
            </w:pPr>
            <w:r>
              <w:rPr>
                <w:rFonts w:hint="eastAsia" w:ascii="宋体" w:hAnsi="宋体" w:eastAsia="宋体" w:cs="Times New Roman"/>
                <w:color w:val="000000"/>
                <w:kern w:val="0"/>
                <w:sz w:val="24"/>
                <w:szCs w:val="24"/>
              </w:rPr>
              <w:t>空白IC卡+印刷+封装+个人化</w:t>
            </w:r>
          </w:p>
        </w:tc>
        <w:tc>
          <w:tcPr>
            <w:tcW w:w="2638" w:type="dxa"/>
            <w:tcBorders>
              <w:top w:val="nil"/>
              <w:left w:val="nil"/>
              <w:bottom w:val="single" w:color="000000" w:sz="4" w:space="0"/>
              <w:right w:val="single" w:color="000000" w:sz="4" w:space="0"/>
            </w:tcBorders>
            <w:vAlign w:val="center"/>
          </w:tcPr>
          <w:p w14:paraId="370E7567">
            <w:pPr>
              <w:widowControl/>
              <w:jc w:val="left"/>
              <w:textAlignment w:val="center"/>
              <w:rPr>
                <w:rFonts w:ascii="宋体" w:hAnsi="宋体" w:eastAsia="宋体" w:cs="Times New Roman"/>
                <w:color w:val="000000"/>
                <w:sz w:val="24"/>
                <w:szCs w:val="24"/>
              </w:rPr>
            </w:pPr>
            <w:r>
              <w:rPr>
                <w:rFonts w:hint="eastAsia" w:ascii="宋体" w:hAnsi="宋体" w:eastAsia="宋体" w:cs="Times New Roman"/>
                <w:color w:val="000000"/>
                <w:kern w:val="0"/>
                <w:sz w:val="24"/>
                <w:szCs w:val="24"/>
              </w:rPr>
              <w:t>　</w:t>
            </w:r>
          </w:p>
        </w:tc>
      </w:tr>
      <w:tr w14:paraId="52342C73">
        <w:tblPrEx>
          <w:tblCellMar>
            <w:top w:w="0" w:type="dxa"/>
            <w:left w:w="108" w:type="dxa"/>
            <w:bottom w:w="0" w:type="dxa"/>
            <w:right w:w="108" w:type="dxa"/>
          </w:tblCellMar>
        </w:tblPrEx>
        <w:trPr>
          <w:trHeight w:val="493" w:hRule="atLeast"/>
        </w:trPr>
        <w:tc>
          <w:tcPr>
            <w:tcW w:w="2156" w:type="dxa"/>
            <w:tcBorders>
              <w:top w:val="nil"/>
              <w:left w:val="single" w:color="000000" w:sz="4" w:space="0"/>
              <w:bottom w:val="single" w:color="000000" w:sz="4" w:space="0"/>
              <w:right w:val="single" w:color="000000" w:sz="4" w:space="0"/>
            </w:tcBorders>
            <w:vAlign w:val="center"/>
          </w:tcPr>
          <w:p w14:paraId="565EB522">
            <w:pPr>
              <w:widowControl/>
              <w:jc w:val="left"/>
              <w:textAlignment w:val="center"/>
              <w:rPr>
                <w:rFonts w:ascii="宋体" w:hAnsi="宋体" w:eastAsia="宋体" w:cs="Times New Roman"/>
                <w:color w:val="000000"/>
                <w:sz w:val="24"/>
                <w:szCs w:val="24"/>
              </w:rPr>
            </w:pPr>
            <w:r>
              <w:rPr>
                <w:rFonts w:hint="eastAsia" w:ascii="宋体" w:hAnsi="宋体" w:eastAsia="宋体" w:cs="Times New Roman"/>
                <w:color w:val="000000"/>
                <w:kern w:val="0"/>
                <w:sz w:val="24"/>
                <w:szCs w:val="24"/>
              </w:rPr>
              <w:t>借记卡同卡号换卡</w:t>
            </w:r>
          </w:p>
        </w:tc>
        <w:tc>
          <w:tcPr>
            <w:tcW w:w="3587" w:type="dxa"/>
            <w:tcBorders>
              <w:top w:val="nil"/>
              <w:left w:val="nil"/>
              <w:bottom w:val="single" w:color="000000" w:sz="4" w:space="0"/>
              <w:right w:val="single" w:color="000000" w:sz="4" w:space="0"/>
            </w:tcBorders>
            <w:vAlign w:val="center"/>
          </w:tcPr>
          <w:p w14:paraId="0A57C5A0">
            <w:pPr>
              <w:widowControl/>
              <w:jc w:val="left"/>
              <w:textAlignment w:val="center"/>
              <w:rPr>
                <w:rFonts w:ascii="宋体" w:hAnsi="宋体" w:eastAsia="宋体" w:cs="Times New Roman"/>
                <w:color w:val="000000"/>
                <w:sz w:val="24"/>
                <w:szCs w:val="24"/>
              </w:rPr>
            </w:pPr>
            <w:r>
              <w:rPr>
                <w:rFonts w:hint="eastAsia" w:ascii="宋体" w:hAnsi="宋体" w:eastAsia="宋体" w:cs="Times New Roman"/>
                <w:color w:val="000000"/>
                <w:kern w:val="0"/>
                <w:sz w:val="24"/>
                <w:szCs w:val="24"/>
              </w:rPr>
              <w:t>空白IC卡+印刷+封装+个人化+邮寄</w:t>
            </w:r>
          </w:p>
        </w:tc>
        <w:tc>
          <w:tcPr>
            <w:tcW w:w="2638" w:type="dxa"/>
            <w:tcBorders>
              <w:top w:val="nil"/>
              <w:left w:val="nil"/>
              <w:bottom w:val="single" w:color="000000" w:sz="4" w:space="0"/>
              <w:right w:val="single" w:color="000000" w:sz="4" w:space="0"/>
            </w:tcBorders>
            <w:vAlign w:val="center"/>
          </w:tcPr>
          <w:p w14:paraId="644550A8">
            <w:pPr>
              <w:widowControl/>
              <w:jc w:val="left"/>
              <w:textAlignment w:val="center"/>
              <w:rPr>
                <w:rFonts w:ascii="宋体" w:hAnsi="宋体" w:eastAsia="宋体" w:cs="Times New Roman"/>
                <w:color w:val="000000"/>
                <w:sz w:val="24"/>
                <w:szCs w:val="24"/>
              </w:rPr>
            </w:pPr>
            <w:r>
              <w:rPr>
                <w:rFonts w:hint="eastAsia" w:ascii="宋体" w:hAnsi="宋体" w:eastAsia="宋体" w:cs="Times New Roman"/>
                <w:color w:val="000000"/>
                <w:kern w:val="0"/>
                <w:sz w:val="24"/>
                <w:szCs w:val="24"/>
              </w:rPr>
              <w:t>　</w:t>
            </w:r>
          </w:p>
        </w:tc>
      </w:tr>
      <w:tr w14:paraId="5A60FE07">
        <w:tblPrEx>
          <w:tblCellMar>
            <w:top w:w="0" w:type="dxa"/>
            <w:left w:w="108" w:type="dxa"/>
            <w:bottom w:w="0" w:type="dxa"/>
            <w:right w:w="108" w:type="dxa"/>
          </w:tblCellMar>
        </w:tblPrEx>
        <w:trPr>
          <w:trHeight w:val="375" w:hRule="atLeast"/>
        </w:trPr>
        <w:tc>
          <w:tcPr>
            <w:tcW w:w="2156" w:type="dxa"/>
            <w:tcBorders>
              <w:top w:val="nil"/>
              <w:left w:val="single" w:color="000000" w:sz="4" w:space="0"/>
              <w:bottom w:val="nil"/>
              <w:right w:val="single" w:color="000000" w:sz="4" w:space="0"/>
            </w:tcBorders>
            <w:vAlign w:val="center"/>
          </w:tcPr>
          <w:p w14:paraId="369A1570">
            <w:pPr>
              <w:widowControl/>
              <w:jc w:val="left"/>
              <w:textAlignment w:val="center"/>
              <w:rPr>
                <w:rFonts w:ascii="宋体" w:hAnsi="宋体" w:eastAsia="宋体" w:cs="Times New Roman"/>
                <w:color w:val="000000"/>
                <w:sz w:val="24"/>
                <w:szCs w:val="24"/>
              </w:rPr>
            </w:pPr>
            <w:r>
              <w:rPr>
                <w:rFonts w:hint="eastAsia" w:ascii="宋体" w:hAnsi="宋体" w:eastAsia="宋体" w:cs="Times New Roman"/>
                <w:color w:val="000000"/>
                <w:kern w:val="0"/>
                <w:sz w:val="24"/>
                <w:szCs w:val="24"/>
              </w:rPr>
              <w:t>密码信封</w:t>
            </w:r>
          </w:p>
        </w:tc>
        <w:tc>
          <w:tcPr>
            <w:tcW w:w="3587" w:type="dxa"/>
            <w:tcBorders>
              <w:top w:val="nil"/>
              <w:left w:val="nil"/>
              <w:bottom w:val="single" w:color="000000" w:sz="4" w:space="0"/>
              <w:right w:val="single" w:color="000000" w:sz="4" w:space="0"/>
            </w:tcBorders>
            <w:vAlign w:val="center"/>
          </w:tcPr>
          <w:p w14:paraId="50354579">
            <w:pPr>
              <w:widowControl/>
              <w:jc w:val="left"/>
              <w:textAlignment w:val="center"/>
              <w:rPr>
                <w:rFonts w:ascii="宋体" w:hAnsi="宋体" w:eastAsia="宋体" w:cs="Times New Roman"/>
                <w:color w:val="000000"/>
                <w:sz w:val="24"/>
                <w:szCs w:val="24"/>
              </w:rPr>
            </w:pPr>
            <w:r>
              <w:rPr>
                <w:rFonts w:hint="eastAsia" w:ascii="宋体" w:hAnsi="宋体" w:eastAsia="宋体" w:cs="Times New Roman"/>
                <w:color w:val="000000"/>
                <w:kern w:val="0"/>
                <w:sz w:val="24"/>
                <w:szCs w:val="24"/>
              </w:rPr>
              <w:t>印刷+个人化</w:t>
            </w:r>
          </w:p>
        </w:tc>
        <w:tc>
          <w:tcPr>
            <w:tcW w:w="2638" w:type="dxa"/>
            <w:tcBorders>
              <w:top w:val="nil"/>
              <w:left w:val="nil"/>
              <w:bottom w:val="nil"/>
              <w:right w:val="single" w:color="000000" w:sz="4" w:space="0"/>
            </w:tcBorders>
            <w:vAlign w:val="center"/>
          </w:tcPr>
          <w:p w14:paraId="26B7205B">
            <w:pPr>
              <w:widowControl/>
              <w:jc w:val="left"/>
              <w:textAlignment w:val="center"/>
              <w:rPr>
                <w:rFonts w:ascii="宋体" w:hAnsi="宋体" w:eastAsia="宋体" w:cs="Times New Roman"/>
                <w:color w:val="000000"/>
                <w:sz w:val="24"/>
                <w:szCs w:val="24"/>
              </w:rPr>
            </w:pPr>
            <w:r>
              <w:rPr>
                <w:rFonts w:hint="eastAsia" w:ascii="宋体" w:hAnsi="宋体" w:eastAsia="宋体" w:cs="Times New Roman"/>
                <w:color w:val="000000"/>
                <w:kern w:val="0"/>
                <w:sz w:val="24"/>
                <w:szCs w:val="24"/>
              </w:rPr>
              <w:t>　</w:t>
            </w:r>
          </w:p>
        </w:tc>
      </w:tr>
      <w:tr w14:paraId="7122D471">
        <w:tblPrEx>
          <w:tblCellMar>
            <w:top w:w="0" w:type="dxa"/>
            <w:left w:w="108" w:type="dxa"/>
            <w:bottom w:w="0" w:type="dxa"/>
            <w:right w:w="108" w:type="dxa"/>
          </w:tblCellMar>
        </w:tblPrEx>
        <w:trPr>
          <w:trHeight w:val="450" w:hRule="atLeast"/>
        </w:trPr>
        <w:tc>
          <w:tcPr>
            <w:tcW w:w="2156" w:type="dxa"/>
            <w:vMerge w:val="restart"/>
            <w:tcBorders>
              <w:top w:val="single" w:color="000000" w:sz="4" w:space="0"/>
              <w:left w:val="single" w:color="000000" w:sz="4" w:space="0"/>
              <w:bottom w:val="nil"/>
              <w:right w:val="single" w:color="000000" w:sz="4" w:space="0"/>
            </w:tcBorders>
            <w:vAlign w:val="center"/>
          </w:tcPr>
          <w:p w14:paraId="55FE2A82">
            <w:pPr>
              <w:widowControl/>
              <w:jc w:val="left"/>
              <w:textAlignment w:val="center"/>
              <w:rPr>
                <w:rFonts w:ascii="宋体" w:hAnsi="宋体" w:eastAsia="宋体" w:cs="Times New Roman"/>
                <w:color w:val="000000"/>
                <w:sz w:val="24"/>
                <w:szCs w:val="24"/>
              </w:rPr>
            </w:pPr>
            <w:r>
              <w:rPr>
                <w:rFonts w:hint="eastAsia" w:ascii="宋体" w:hAnsi="宋体" w:eastAsia="宋体" w:cs="Times New Roman"/>
                <w:color w:val="000000"/>
                <w:kern w:val="0"/>
                <w:sz w:val="24"/>
                <w:szCs w:val="24"/>
              </w:rPr>
              <w:t>特殊工艺卡附加</w:t>
            </w:r>
          </w:p>
        </w:tc>
        <w:tc>
          <w:tcPr>
            <w:tcW w:w="3587" w:type="dxa"/>
            <w:tcBorders>
              <w:top w:val="nil"/>
              <w:left w:val="nil"/>
              <w:bottom w:val="single" w:color="000000" w:sz="4" w:space="0"/>
              <w:right w:val="single" w:color="000000" w:sz="4" w:space="0"/>
            </w:tcBorders>
            <w:vAlign w:val="center"/>
          </w:tcPr>
          <w:p w14:paraId="12B1A082">
            <w:pPr>
              <w:widowControl/>
              <w:jc w:val="left"/>
              <w:textAlignment w:val="center"/>
              <w:rPr>
                <w:rFonts w:ascii="宋体" w:hAnsi="宋体" w:eastAsia="宋体" w:cs="Times New Roman"/>
                <w:color w:val="000000"/>
                <w:sz w:val="24"/>
                <w:szCs w:val="24"/>
              </w:rPr>
            </w:pPr>
            <w:r>
              <w:rPr>
                <w:rFonts w:hint="eastAsia" w:ascii="宋体" w:hAnsi="宋体" w:eastAsia="宋体" w:cs="Times New Roman"/>
                <w:color w:val="000000"/>
                <w:kern w:val="0"/>
                <w:sz w:val="24"/>
                <w:szCs w:val="24"/>
              </w:rPr>
              <w:t>立金</w:t>
            </w:r>
          </w:p>
        </w:tc>
        <w:tc>
          <w:tcPr>
            <w:tcW w:w="2638" w:type="dxa"/>
            <w:vMerge w:val="restart"/>
            <w:tcBorders>
              <w:top w:val="single" w:color="000000" w:sz="4" w:space="0"/>
              <w:left w:val="nil"/>
              <w:bottom w:val="nil"/>
              <w:right w:val="single" w:color="000000" w:sz="4" w:space="0"/>
            </w:tcBorders>
            <w:vAlign w:val="center"/>
          </w:tcPr>
          <w:p w14:paraId="4367688D">
            <w:pPr>
              <w:widowControl/>
              <w:jc w:val="left"/>
              <w:textAlignment w:val="center"/>
              <w:rPr>
                <w:rFonts w:ascii="宋体" w:hAnsi="宋体" w:eastAsia="宋体" w:cs="Times New Roman"/>
                <w:color w:val="000000"/>
                <w:sz w:val="24"/>
                <w:szCs w:val="24"/>
              </w:rPr>
            </w:pPr>
            <w:r>
              <w:rPr>
                <w:rFonts w:hint="eastAsia" w:ascii="宋体" w:hAnsi="宋体" w:eastAsia="宋体" w:cs="Times New Roman"/>
                <w:color w:val="000000"/>
                <w:kern w:val="0"/>
                <w:sz w:val="24"/>
                <w:szCs w:val="24"/>
              </w:rPr>
              <w:t>特殊工艺卡为根据在原卡基础上每附加一种特殊工艺增加单价</w:t>
            </w:r>
          </w:p>
        </w:tc>
      </w:tr>
      <w:tr w14:paraId="42810026">
        <w:tblPrEx>
          <w:tblCellMar>
            <w:top w:w="0" w:type="dxa"/>
            <w:left w:w="108" w:type="dxa"/>
            <w:bottom w:w="0" w:type="dxa"/>
            <w:right w:w="108" w:type="dxa"/>
          </w:tblCellMar>
        </w:tblPrEx>
        <w:trPr>
          <w:trHeight w:val="437" w:hRule="atLeast"/>
        </w:trPr>
        <w:tc>
          <w:tcPr>
            <w:tcW w:w="0" w:type="auto"/>
            <w:vMerge w:val="continue"/>
            <w:tcBorders>
              <w:top w:val="single" w:color="000000" w:sz="4" w:space="0"/>
              <w:left w:val="single" w:color="000000" w:sz="4" w:space="0"/>
              <w:bottom w:val="nil"/>
              <w:right w:val="single" w:color="000000" w:sz="4" w:space="0"/>
            </w:tcBorders>
            <w:vAlign w:val="center"/>
          </w:tcPr>
          <w:p w14:paraId="603CF07B">
            <w:pPr>
              <w:widowControl/>
              <w:jc w:val="left"/>
              <w:rPr>
                <w:rFonts w:ascii="宋体" w:hAnsi="宋体" w:eastAsia="宋体" w:cs="Times New Roman"/>
                <w:color w:val="000000"/>
                <w:sz w:val="24"/>
                <w:szCs w:val="24"/>
              </w:rPr>
            </w:pPr>
          </w:p>
        </w:tc>
        <w:tc>
          <w:tcPr>
            <w:tcW w:w="3587" w:type="dxa"/>
            <w:tcBorders>
              <w:top w:val="nil"/>
              <w:left w:val="nil"/>
              <w:bottom w:val="single" w:color="000000" w:sz="4" w:space="0"/>
              <w:right w:val="single" w:color="000000" w:sz="4" w:space="0"/>
            </w:tcBorders>
            <w:vAlign w:val="center"/>
          </w:tcPr>
          <w:p w14:paraId="1CE27B39">
            <w:pPr>
              <w:widowControl/>
              <w:jc w:val="left"/>
              <w:textAlignment w:val="center"/>
              <w:rPr>
                <w:rFonts w:ascii="宋体" w:hAnsi="宋体" w:eastAsia="宋体" w:cs="Times New Roman"/>
                <w:color w:val="000000"/>
                <w:sz w:val="24"/>
                <w:szCs w:val="24"/>
              </w:rPr>
            </w:pPr>
            <w:r>
              <w:rPr>
                <w:rFonts w:hint="eastAsia" w:ascii="宋体" w:hAnsi="宋体" w:eastAsia="宋体" w:cs="Times New Roman"/>
                <w:color w:val="000000"/>
                <w:kern w:val="0"/>
                <w:sz w:val="24"/>
                <w:szCs w:val="24"/>
              </w:rPr>
              <w:t>烫印</w:t>
            </w:r>
          </w:p>
        </w:tc>
        <w:tc>
          <w:tcPr>
            <w:tcW w:w="0" w:type="auto"/>
            <w:vMerge w:val="continue"/>
            <w:tcBorders>
              <w:top w:val="single" w:color="000000" w:sz="4" w:space="0"/>
              <w:left w:val="nil"/>
              <w:bottom w:val="nil"/>
              <w:right w:val="single" w:color="000000" w:sz="4" w:space="0"/>
            </w:tcBorders>
            <w:vAlign w:val="center"/>
          </w:tcPr>
          <w:p w14:paraId="379DF9B2">
            <w:pPr>
              <w:widowControl/>
              <w:jc w:val="left"/>
              <w:rPr>
                <w:rFonts w:ascii="宋体" w:hAnsi="宋体" w:eastAsia="宋体" w:cs="Times New Roman"/>
                <w:color w:val="000000"/>
                <w:sz w:val="24"/>
                <w:szCs w:val="24"/>
              </w:rPr>
            </w:pPr>
          </w:p>
        </w:tc>
      </w:tr>
      <w:tr w14:paraId="3466B2E5">
        <w:tblPrEx>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nil"/>
              <w:right w:val="single" w:color="000000" w:sz="4" w:space="0"/>
            </w:tcBorders>
            <w:vAlign w:val="center"/>
          </w:tcPr>
          <w:p w14:paraId="69EF8D84">
            <w:pPr>
              <w:widowControl/>
              <w:jc w:val="left"/>
              <w:rPr>
                <w:rFonts w:ascii="宋体" w:hAnsi="宋体" w:eastAsia="宋体" w:cs="Times New Roman"/>
                <w:color w:val="000000"/>
                <w:sz w:val="24"/>
                <w:szCs w:val="24"/>
              </w:rPr>
            </w:pPr>
          </w:p>
        </w:tc>
        <w:tc>
          <w:tcPr>
            <w:tcW w:w="3587" w:type="dxa"/>
            <w:tcBorders>
              <w:top w:val="nil"/>
              <w:left w:val="nil"/>
              <w:bottom w:val="single" w:color="000000" w:sz="4" w:space="0"/>
              <w:right w:val="single" w:color="000000" w:sz="4" w:space="0"/>
            </w:tcBorders>
            <w:vAlign w:val="center"/>
          </w:tcPr>
          <w:p w14:paraId="2614E762">
            <w:pPr>
              <w:widowControl/>
              <w:jc w:val="left"/>
              <w:textAlignment w:val="center"/>
              <w:rPr>
                <w:rFonts w:ascii="宋体" w:hAnsi="宋体" w:eastAsia="宋体" w:cs="Times New Roman"/>
                <w:color w:val="000000"/>
                <w:sz w:val="24"/>
                <w:szCs w:val="24"/>
              </w:rPr>
            </w:pPr>
            <w:r>
              <w:rPr>
                <w:rFonts w:hint="eastAsia" w:ascii="宋体" w:hAnsi="宋体" w:eastAsia="宋体" w:cs="Times New Roman"/>
                <w:color w:val="000000"/>
                <w:kern w:val="0"/>
                <w:sz w:val="24"/>
                <w:szCs w:val="24"/>
              </w:rPr>
              <w:t>彩色PVC材料</w:t>
            </w:r>
          </w:p>
        </w:tc>
        <w:tc>
          <w:tcPr>
            <w:tcW w:w="0" w:type="auto"/>
            <w:vMerge w:val="continue"/>
            <w:tcBorders>
              <w:top w:val="single" w:color="000000" w:sz="4" w:space="0"/>
              <w:left w:val="nil"/>
              <w:bottom w:val="nil"/>
              <w:right w:val="single" w:color="000000" w:sz="4" w:space="0"/>
            </w:tcBorders>
            <w:vAlign w:val="center"/>
          </w:tcPr>
          <w:p w14:paraId="0AFD59B2">
            <w:pPr>
              <w:widowControl/>
              <w:jc w:val="left"/>
              <w:rPr>
                <w:rFonts w:ascii="宋体" w:hAnsi="宋体" w:eastAsia="宋体" w:cs="Times New Roman"/>
                <w:color w:val="000000"/>
                <w:sz w:val="24"/>
                <w:szCs w:val="24"/>
              </w:rPr>
            </w:pPr>
          </w:p>
        </w:tc>
      </w:tr>
      <w:tr w14:paraId="3BCFF16C">
        <w:tblPrEx>
          <w:tblCellMar>
            <w:top w:w="0" w:type="dxa"/>
            <w:left w:w="108" w:type="dxa"/>
            <w:bottom w:w="0" w:type="dxa"/>
            <w:right w:w="108" w:type="dxa"/>
          </w:tblCellMar>
        </w:tblPrEx>
        <w:trPr>
          <w:trHeight w:val="330" w:hRule="atLeast"/>
        </w:trPr>
        <w:tc>
          <w:tcPr>
            <w:tcW w:w="8381" w:type="dxa"/>
            <w:gridSpan w:val="3"/>
            <w:tcBorders>
              <w:top w:val="single" w:color="000000" w:sz="4" w:space="0"/>
              <w:left w:val="single" w:color="000000" w:sz="4" w:space="0"/>
              <w:bottom w:val="single" w:color="000000" w:sz="4" w:space="0"/>
              <w:right w:val="single" w:color="000000" w:sz="4" w:space="0"/>
            </w:tcBorders>
            <w:vAlign w:val="center"/>
          </w:tcPr>
          <w:p w14:paraId="62E9BBA1">
            <w:pPr>
              <w:widowControl/>
              <w:jc w:val="center"/>
              <w:textAlignment w:val="center"/>
              <w:rPr>
                <w:rFonts w:ascii="宋体" w:hAnsi="宋体" w:eastAsia="宋体" w:cs="Times New Roman"/>
                <w:color w:val="000000"/>
                <w:sz w:val="24"/>
                <w:szCs w:val="24"/>
              </w:rPr>
            </w:pPr>
            <w:r>
              <w:rPr>
                <w:rFonts w:hint="eastAsia" w:ascii="宋体" w:hAnsi="宋体" w:eastAsia="宋体" w:cs="Times New Roman"/>
                <w:color w:val="000000"/>
                <w:kern w:val="0"/>
                <w:sz w:val="24"/>
                <w:szCs w:val="24"/>
              </w:rPr>
              <w:t>备注：以上借记卡为国密金融IC卡。</w:t>
            </w:r>
          </w:p>
        </w:tc>
      </w:tr>
    </w:tbl>
    <w:p w14:paraId="0CC23029">
      <w:pPr>
        <w:pStyle w:val="2"/>
        <w:spacing w:line="360" w:lineRule="auto"/>
        <w:ind w:firstLine="480" w:firstLineChars="200"/>
        <w:rPr>
          <w:rFonts w:ascii="宋体" w:hAnsi="宋体" w:eastAsia="宋体"/>
          <w:sz w:val="24"/>
          <w:lang w:val="en-US"/>
        </w:rPr>
      </w:pPr>
    </w:p>
    <w:p w14:paraId="73D6A0DF">
      <w:pPr>
        <w:pStyle w:val="2"/>
        <w:spacing w:line="360" w:lineRule="auto"/>
        <w:ind w:firstLine="480" w:firstLineChars="200"/>
        <w:rPr>
          <w:rFonts w:ascii="宋体" w:hAnsi="宋体" w:eastAsia="宋体" w:cs="宋体"/>
          <w:sz w:val="24"/>
        </w:rPr>
      </w:pPr>
      <w:r>
        <w:rPr>
          <w:rFonts w:hint="eastAsia" w:ascii="宋体" w:hAnsi="宋体" w:eastAsia="宋体"/>
          <w:sz w:val="24"/>
        </w:rPr>
        <w:t>2.2 乙方应按甲方要求为采购单位提供金融</w:t>
      </w:r>
      <w:r>
        <w:rPr>
          <w:rFonts w:ascii="宋体" w:hAnsi="宋体" w:eastAsia="宋体"/>
          <w:sz w:val="24"/>
        </w:rPr>
        <w:t>IC借记卡制卡及个人化服务</w:t>
      </w:r>
      <w:r>
        <w:rPr>
          <w:rFonts w:hint="eastAsia" w:ascii="宋体" w:hAnsi="宋体" w:eastAsia="宋体"/>
          <w:sz w:val="24"/>
        </w:rPr>
        <w:t>。乙方应在签订采购合同后</w:t>
      </w:r>
      <w:r>
        <w:rPr>
          <w:rFonts w:ascii="宋体" w:hAnsi="宋体" w:eastAsia="宋体"/>
          <w:sz w:val="24"/>
        </w:rPr>
        <w:t>60个日历天内</w:t>
      </w:r>
      <w:r>
        <w:rPr>
          <w:rFonts w:hint="eastAsia" w:ascii="宋体" w:hAnsi="宋体" w:eastAsia="宋体"/>
          <w:sz w:val="24"/>
        </w:rPr>
        <w:t>完成银联验收及开卡测试验证，</w:t>
      </w:r>
      <w:r>
        <w:rPr>
          <w:rFonts w:hint="eastAsia" w:ascii="宋体" w:hAnsi="宋体" w:eastAsia="宋体"/>
          <w:sz w:val="24"/>
          <w:lang w:val="en-US"/>
        </w:rPr>
        <w:t>后续由分行以订单形式下单，相关货物</w:t>
      </w:r>
      <w:r>
        <w:rPr>
          <w:rFonts w:hint="eastAsia" w:ascii="宋体" w:hAnsi="宋体" w:eastAsia="宋体"/>
          <w:sz w:val="24"/>
        </w:rPr>
        <w:t>要求于</w:t>
      </w:r>
      <w:r>
        <w:rPr>
          <w:rFonts w:hint="eastAsia" w:ascii="宋体" w:hAnsi="宋体" w:eastAsia="宋体"/>
          <w:sz w:val="24"/>
          <w:lang w:val="en-US"/>
        </w:rPr>
        <w:t>3</w:t>
      </w:r>
      <w:r>
        <w:rPr>
          <w:rFonts w:hint="eastAsia" w:ascii="宋体" w:hAnsi="宋体" w:eastAsia="宋体"/>
          <w:sz w:val="24"/>
        </w:rPr>
        <w:t>0个日历天内完成供货。</w:t>
      </w:r>
    </w:p>
    <w:p w14:paraId="0BE6757D">
      <w:pPr>
        <w:pStyle w:val="2"/>
        <w:spacing w:line="360" w:lineRule="auto"/>
        <w:ind w:firstLine="480" w:firstLineChars="200"/>
        <w:rPr>
          <w:rFonts w:ascii="宋体" w:hAnsi="宋体" w:eastAsia="宋体"/>
          <w:sz w:val="24"/>
        </w:rPr>
      </w:pPr>
      <w:r>
        <w:rPr>
          <w:rFonts w:hint="eastAsia" w:ascii="宋体" w:hAnsi="宋体" w:eastAsia="宋体"/>
          <w:sz w:val="24"/>
        </w:rPr>
        <w:t xml:space="preserve">2.3 如采购单位提出要求，乙方有义务免费为其提供咨询、完善采购需求。 </w:t>
      </w:r>
    </w:p>
    <w:p w14:paraId="2335F43C">
      <w:pPr>
        <w:pStyle w:val="2"/>
        <w:spacing w:line="360" w:lineRule="auto"/>
        <w:ind w:firstLine="480" w:firstLineChars="200"/>
        <w:rPr>
          <w:rFonts w:ascii="宋体" w:hAnsi="宋体" w:eastAsia="宋体"/>
          <w:sz w:val="24"/>
        </w:rPr>
      </w:pPr>
      <w:r>
        <w:rPr>
          <w:rFonts w:hint="eastAsia" w:ascii="宋体" w:hAnsi="宋体" w:eastAsia="宋体"/>
          <w:sz w:val="24"/>
        </w:rPr>
        <w:t>2.4 乙方按本协议向采购单位供货时应与采购单位签订供货合同，确定产品数量、质量要求、价格、服务等。如乙方在供货合同中的承诺优于招标文件、乙方投标文件和本协议时，以供货合同为准。若甲方所需产品不在框架协议清单范围内的，由甲乙双方另行协商，核定单价，签订供货合同，乙方承诺所提供的产品成交价优于市场平均价。</w:t>
      </w:r>
    </w:p>
    <w:p w14:paraId="67E761A2">
      <w:pPr>
        <w:pStyle w:val="2"/>
        <w:spacing w:line="360" w:lineRule="auto"/>
        <w:ind w:firstLine="480" w:firstLineChars="200"/>
        <w:rPr>
          <w:rFonts w:ascii="宋体" w:hAnsi="宋体" w:eastAsia="宋体"/>
          <w:sz w:val="24"/>
        </w:rPr>
      </w:pPr>
      <w:r>
        <w:rPr>
          <w:rFonts w:hint="eastAsia" w:ascii="宋体" w:hAnsi="宋体" w:eastAsia="宋体"/>
          <w:sz w:val="24"/>
        </w:rPr>
        <w:t xml:space="preserve">2.5 质量控制和验收 </w:t>
      </w:r>
    </w:p>
    <w:p w14:paraId="32997AC4">
      <w:pPr>
        <w:pStyle w:val="2"/>
        <w:spacing w:line="360" w:lineRule="auto"/>
        <w:ind w:firstLine="480" w:firstLineChars="200"/>
        <w:rPr>
          <w:rFonts w:ascii="宋体" w:hAnsi="宋体" w:eastAsia="宋体"/>
          <w:sz w:val="24"/>
        </w:rPr>
      </w:pPr>
      <w:r>
        <w:rPr>
          <w:rFonts w:hint="eastAsia" w:ascii="宋体" w:hAnsi="宋体" w:eastAsia="宋体"/>
          <w:sz w:val="24"/>
        </w:rPr>
        <w:t xml:space="preserve">2.5.1 总体要求。质量控制由采购单位组织，乙方须全力配合此项工作的开展。采购单位可选定、授权有资质的检验机构或技术专家参与质量控制工作。 </w:t>
      </w:r>
    </w:p>
    <w:p w14:paraId="4932476C">
      <w:pPr>
        <w:pStyle w:val="2"/>
        <w:spacing w:line="360" w:lineRule="auto"/>
        <w:ind w:firstLine="480" w:firstLineChars="200"/>
        <w:rPr>
          <w:rFonts w:ascii="宋体" w:hAnsi="宋体" w:eastAsia="宋体"/>
          <w:sz w:val="24"/>
        </w:rPr>
      </w:pPr>
      <w:r>
        <w:rPr>
          <w:rFonts w:hint="eastAsia" w:ascii="宋体" w:hAnsi="宋体" w:eastAsia="宋体"/>
          <w:sz w:val="24"/>
        </w:rPr>
        <w:t xml:space="preserve">2.5.2 生产过程中的质量控制。采购单位及其授权的检验机构有权按照国家有关规定及采购合同约定的标准，对金融IC借记卡制卡及个人化服务中涉及的技术要求进行质量控制。采购单位可随时对合同货物进行发货前的质量检验与测试。乙方应为采购单位进行上述检查提供便利条件。 </w:t>
      </w:r>
    </w:p>
    <w:p w14:paraId="28EAE6BB">
      <w:pPr>
        <w:pStyle w:val="2"/>
        <w:spacing w:line="360" w:lineRule="auto"/>
        <w:ind w:firstLine="480" w:firstLineChars="200"/>
        <w:rPr>
          <w:rFonts w:ascii="宋体" w:hAnsi="宋体" w:eastAsia="宋体"/>
          <w:sz w:val="24"/>
        </w:rPr>
      </w:pPr>
      <w:r>
        <w:rPr>
          <w:rFonts w:hint="eastAsia" w:ascii="宋体" w:hAnsi="宋体" w:eastAsia="宋体"/>
          <w:sz w:val="24"/>
        </w:rPr>
        <w:t xml:space="preserve">2.5.4 成品的质量控制与验收 </w:t>
      </w:r>
    </w:p>
    <w:p w14:paraId="56A26E5F">
      <w:pPr>
        <w:pStyle w:val="2"/>
        <w:spacing w:line="360" w:lineRule="auto"/>
        <w:ind w:firstLine="480" w:firstLineChars="200"/>
        <w:rPr>
          <w:rFonts w:ascii="宋体" w:hAnsi="宋体" w:eastAsia="宋体"/>
          <w:sz w:val="24"/>
        </w:rPr>
      </w:pPr>
      <w:r>
        <w:rPr>
          <w:rFonts w:hint="eastAsia" w:ascii="宋体" w:hAnsi="宋体" w:eastAsia="宋体"/>
          <w:sz w:val="24"/>
        </w:rPr>
        <w:t xml:space="preserve">（1）乙方所提供的货物成品应符合国家、行业相关质量标准。货物名称、型号规格、数量、颜色、外观等符合采购单位要求，不得有损毁或损坏。 </w:t>
      </w:r>
    </w:p>
    <w:p w14:paraId="30711591">
      <w:pPr>
        <w:pStyle w:val="2"/>
        <w:spacing w:line="360" w:lineRule="auto"/>
        <w:ind w:firstLine="480" w:firstLineChars="200"/>
        <w:rPr>
          <w:rFonts w:ascii="宋体" w:hAnsi="宋体" w:eastAsia="宋体"/>
          <w:sz w:val="24"/>
        </w:rPr>
      </w:pPr>
      <w:r>
        <w:rPr>
          <w:rFonts w:hint="eastAsia" w:ascii="宋体" w:hAnsi="宋体" w:eastAsia="宋体"/>
          <w:sz w:val="24"/>
        </w:rPr>
        <w:t xml:space="preserve">（2）货物到达采购单位指定地点后，采购单位有权对货物进行质量检测。检验不合格时不予验收。 </w:t>
      </w:r>
    </w:p>
    <w:p w14:paraId="7D553A75">
      <w:pPr>
        <w:pStyle w:val="2"/>
        <w:spacing w:line="360" w:lineRule="auto"/>
        <w:ind w:firstLine="480" w:firstLineChars="200"/>
        <w:rPr>
          <w:rFonts w:ascii="宋体" w:hAnsi="宋体" w:eastAsia="宋体"/>
          <w:sz w:val="24"/>
        </w:rPr>
      </w:pPr>
      <w:r>
        <w:rPr>
          <w:rFonts w:hint="eastAsia" w:ascii="宋体" w:hAnsi="宋体" w:eastAsia="宋体"/>
          <w:sz w:val="24"/>
        </w:rPr>
        <w:t xml:space="preserve">（3）采购单位对货物质量提出异议的，应以书面方式提出，乙方应自接到采购单位书面异议后15日内免费处理并将处理情况书面告知采购单位。 </w:t>
      </w:r>
    </w:p>
    <w:p w14:paraId="15E1524D">
      <w:pPr>
        <w:pStyle w:val="2"/>
        <w:spacing w:line="360" w:lineRule="auto"/>
        <w:ind w:firstLine="480" w:firstLineChars="200"/>
        <w:rPr>
          <w:rFonts w:ascii="宋体" w:hAnsi="宋体" w:eastAsia="宋体"/>
          <w:sz w:val="24"/>
        </w:rPr>
      </w:pPr>
      <w:r>
        <w:rPr>
          <w:rFonts w:hint="eastAsia" w:ascii="宋体" w:hAnsi="宋体" w:eastAsia="宋体"/>
          <w:sz w:val="24"/>
        </w:rPr>
        <w:t xml:space="preserve">（4）因货物质量问题造成的损失由乙方承担。  </w:t>
      </w:r>
    </w:p>
    <w:p w14:paraId="001F1491">
      <w:pPr>
        <w:pStyle w:val="2"/>
        <w:spacing w:line="360" w:lineRule="auto"/>
        <w:ind w:firstLine="480" w:firstLineChars="200"/>
        <w:rPr>
          <w:rFonts w:ascii="宋体" w:hAnsi="宋体" w:eastAsia="宋体"/>
          <w:sz w:val="24"/>
        </w:rPr>
      </w:pPr>
      <w:r>
        <w:rPr>
          <w:rFonts w:hint="eastAsia" w:ascii="宋体" w:hAnsi="宋体" w:eastAsia="宋体"/>
          <w:sz w:val="24"/>
        </w:rPr>
        <w:t>2.6 费用结算方式。签署框架协议后，</w:t>
      </w:r>
      <w:r>
        <w:rPr>
          <w:rFonts w:hint="eastAsia" w:ascii="宋体" w:hAnsi="宋体" w:eastAsia="宋体"/>
          <w:sz w:val="24"/>
          <w:lang w:val="en-US"/>
        </w:rPr>
        <w:t>乙方</w:t>
      </w:r>
      <w:r>
        <w:rPr>
          <w:rFonts w:hint="eastAsia" w:ascii="宋体" w:hAnsi="宋体" w:eastAsia="宋体"/>
          <w:sz w:val="24"/>
        </w:rPr>
        <w:t>由分行以订单形式下单，并按订单结算，货到甲方或甲方指定地点后，经甲方验收合格后，十个工作日内由乙方开具税率13%的等额增值税专用发票给甲方，甲方在收到发票后15个工作日内全额付款给乙方。。</w:t>
      </w:r>
    </w:p>
    <w:p w14:paraId="4364A1D1">
      <w:pPr>
        <w:pStyle w:val="2"/>
        <w:spacing w:line="360" w:lineRule="auto"/>
        <w:ind w:firstLine="480" w:firstLineChars="200"/>
        <w:rPr>
          <w:rFonts w:ascii="宋体" w:hAnsi="宋体" w:eastAsia="宋体"/>
          <w:sz w:val="24"/>
        </w:rPr>
      </w:pPr>
      <w:r>
        <w:rPr>
          <w:rFonts w:hint="eastAsia" w:ascii="宋体" w:hAnsi="宋体" w:eastAsia="宋体"/>
          <w:sz w:val="24"/>
        </w:rPr>
        <w:t xml:space="preserve">2.7 甲方的权利和义务 </w:t>
      </w:r>
    </w:p>
    <w:p w14:paraId="06A0B00A">
      <w:pPr>
        <w:pStyle w:val="2"/>
        <w:spacing w:line="360" w:lineRule="auto"/>
        <w:ind w:firstLine="480" w:firstLineChars="200"/>
        <w:rPr>
          <w:rFonts w:ascii="宋体" w:hAnsi="宋体" w:eastAsia="宋体"/>
          <w:sz w:val="24"/>
        </w:rPr>
      </w:pPr>
      <w:r>
        <w:rPr>
          <w:rFonts w:hint="eastAsia" w:ascii="宋体" w:hAnsi="宋体" w:eastAsia="宋体"/>
          <w:sz w:val="24"/>
        </w:rPr>
        <w:t xml:space="preserve">2.7.1 甲方的权利 </w:t>
      </w:r>
    </w:p>
    <w:p w14:paraId="5D8E1AB7">
      <w:pPr>
        <w:pStyle w:val="2"/>
        <w:spacing w:line="360" w:lineRule="auto"/>
        <w:ind w:firstLine="480" w:firstLineChars="200"/>
        <w:rPr>
          <w:rFonts w:ascii="宋体" w:hAnsi="宋体" w:eastAsia="宋体"/>
          <w:sz w:val="24"/>
        </w:rPr>
      </w:pPr>
      <w:r>
        <w:rPr>
          <w:rFonts w:hint="eastAsia" w:ascii="宋体" w:hAnsi="宋体" w:eastAsia="宋体"/>
          <w:sz w:val="24"/>
        </w:rPr>
        <w:t xml:space="preserve">（1）根据乙方投标文件中有关内容，对乙方的生产、管理情况进行检查。 </w:t>
      </w:r>
    </w:p>
    <w:p w14:paraId="2FA3C954">
      <w:pPr>
        <w:pStyle w:val="2"/>
        <w:spacing w:line="360" w:lineRule="auto"/>
        <w:ind w:firstLine="480" w:firstLineChars="200"/>
        <w:rPr>
          <w:rFonts w:ascii="宋体" w:hAnsi="宋体" w:eastAsia="宋体"/>
          <w:sz w:val="24"/>
        </w:rPr>
      </w:pPr>
      <w:r>
        <w:rPr>
          <w:rFonts w:hint="eastAsia" w:ascii="宋体" w:hAnsi="宋体" w:eastAsia="宋体"/>
          <w:sz w:val="24"/>
        </w:rPr>
        <w:t xml:space="preserve">（2）对乙方提供的货物质量进行监督和检查，对发现和采购单位投诉的问题进行调查和处理。 </w:t>
      </w:r>
    </w:p>
    <w:p w14:paraId="396F761B">
      <w:pPr>
        <w:pStyle w:val="2"/>
        <w:spacing w:line="360" w:lineRule="auto"/>
        <w:ind w:firstLine="480" w:firstLineChars="200"/>
        <w:rPr>
          <w:rFonts w:ascii="宋体" w:hAnsi="宋体" w:eastAsia="宋体"/>
          <w:sz w:val="24"/>
        </w:rPr>
      </w:pPr>
      <w:r>
        <w:rPr>
          <w:rFonts w:hint="eastAsia" w:ascii="宋体" w:hAnsi="宋体" w:eastAsia="宋体"/>
          <w:sz w:val="24"/>
        </w:rPr>
        <w:t xml:space="preserve">（3）因乙方违反协议或合同规定给甲方或采购单位造成损失时，有权要求乙方赔偿经济损失。 </w:t>
      </w:r>
    </w:p>
    <w:p w14:paraId="0412B471">
      <w:pPr>
        <w:pStyle w:val="2"/>
        <w:spacing w:line="360" w:lineRule="auto"/>
        <w:ind w:firstLine="480" w:firstLineChars="200"/>
        <w:rPr>
          <w:rFonts w:ascii="宋体" w:hAnsi="宋体" w:eastAsia="宋体"/>
          <w:sz w:val="24"/>
        </w:rPr>
      </w:pPr>
      <w:r>
        <w:rPr>
          <w:rFonts w:hint="eastAsia" w:ascii="宋体" w:hAnsi="宋体" w:eastAsia="宋体"/>
          <w:sz w:val="24"/>
        </w:rPr>
        <w:t xml:space="preserve">（4）受理采购单位对乙方违反本协议规定行为的投诉。如投诉情况属实，通知乙方及时纠正，并按本协议有关规定给予处理。 </w:t>
      </w:r>
    </w:p>
    <w:p w14:paraId="5CA1033A">
      <w:pPr>
        <w:pStyle w:val="2"/>
        <w:spacing w:line="360" w:lineRule="auto"/>
        <w:ind w:firstLine="480" w:firstLineChars="200"/>
        <w:rPr>
          <w:rFonts w:ascii="宋体" w:hAnsi="宋体" w:eastAsia="宋体"/>
          <w:sz w:val="24"/>
        </w:rPr>
      </w:pPr>
      <w:r>
        <w:rPr>
          <w:rFonts w:hint="eastAsia" w:ascii="宋体" w:hAnsi="宋体" w:eastAsia="宋体"/>
          <w:sz w:val="24"/>
        </w:rPr>
        <w:t xml:space="preserve">（5）甲方对采购单位采购费用的拖欠不承担任何责任。 </w:t>
      </w:r>
    </w:p>
    <w:p w14:paraId="2805C068">
      <w:pPr>
        <w:pStyle w:val="2"/>
        <w:spacing w:line="360" w:lineRule="auto"/>
        <w:ind w:firstLine="480" w:firstLineChars="200"/>
        <w:rPr>
          <w:rFonts w:ascii="宋体" w:hAnsi="宋体" w:eastAsia="宋体"/>
          <w:sz w:val="24"/>
        </w:rPr>
      </w:pPr>
      <w:r>
        <w:rPr>
          <w:rFonts w:hint="eastAsia" w:ascii="宋体" w:hAnsi="宋体" w:eastAsia="宋体"/>
          <w:sz w:val="24"/>
        </w:rPr>
        <w:t xml:space="preserve">2.7.2 甲方的义务 </w:t>
      </w:r>
    </w:p>
    <w:p w14:paraId="7FB324AD">
      <w:pPr>
        <w:keepNext w:val="0"/>
        <w:keepLines w:val="0"/>
        <w:widowControl w:val="0"/>
        <w:suppressLineNumbers w:val="0"/>
        <w:spacing w:before="0" w:beforeAutospacing="0" w:after="0" w:afterAutospacing="0"/>
        <w:ind w:left="0" w:right="0"/>
        <w:jc w:val="both"/>
        <w:rPr>
          <w:rFonts w:ascii="宋体" w:hAnsi="宋体" w:eastAsia="宋体"/>
          <w:sz w:val="24"/>
        </w:rPr>
      </w:pPr>
      <w:r>
        <w:rPr>
          <w:rFonts w:hint="eastAsia" w:ascii="宋体" w:hAnsi="宋体" w:eastAsia="宋体"/>
          <w:sz w:val="24"/>
        </w:rPr>
        <w:t>负责协调乙方与采购单位在</w:t>
      </w:r>
      <w:r>
        <w:rPr>
          <w:rFonts w:hint="eastAsia" w:ascii="宋体" w:hAnsi="宋体" w:eastAsia="宋体" w:cs="宋体"/>
          <w:kern w:val="2"/>
          <w:sz w:val="24"/>
          <w:szCs w:val="24"/>
          <w:lang w:val="en-US" w:eastAsia="zh-CN" w:bidi="ar"/>
        </w:rPr>
        <w:t>金融IC借记卡制卡及个人化服务</w:t>
      </w:r>
      <w:r>
        <w:rPr>
          <w:rFonts w:hint="eastAsia" w:ascii="宋体" w:hAnsi="宋体" w:eastAsia="宋体"/>
          <w:sz w:val="24"/>
        </w:rPr>
        <w:t>框架协议采购方面的关系，与有关部门一起解决和处理</w:t>
      </w:r>
      <w:r>
        <w:rPr>
          <w:rFonts w:hint="eastAsia" w:ascii="宋体" w:hAnsi="宋体" w:eastAsia="宋体" w:cs="宋体"/>
          <w:kern w:val="2"/>
          <w:sz w:val="24"/>
          <w:szCs w:val="24"/>
          <w:lang w:val="en-US" w:eastAsia="zh-CN" w:bidi="ar"/>
        </w:rPr>
        <w:t>金融IC借记卡制卡及个人化服务</w:t>
      </w:r>
      <w:r>
        <w:rPr>
          <w:rFonts w:hint="eastAsia" w:ascii="宋体" w:hAnsi="宋体" w:eastAsia="宋体"/>
          <w:sz w:val="24"/>
        </w:rPr>
        <w:t xml:space="preserve">采购过程中所发生的纠纷。 </w:t>
      </w:r>
    </w:p>
    <w:p w14:paraId="16930B51">
      <w:pPr>
        <w:pStyle w:val="2"/>
        <w:spacing w:line="360" w:lineRule="auto"/>
        <w:ind w:firstLine="480" w:firstLineChars="200"/>
        <w:rPr>
          <w:rFonts w:ascii="宋体" w:hAnsi="宋体" w:eastAsia="宋体"/>
          <w:sz w:val="24"/>
        </w:rPr>
      </w:pPr>
      <w:r>
        <w:rPr>
          <w:rFonts w:hint="eastAsia" w:ascii="宋体" w:hAnsi="宋体" w:eastAsia="宋体"/>
          <w:sz w:val="24"/>
        </w:rPr>
        <w:t xml:space="preserve">2.8 乙方的权利和义务 </w:t>
      </w:r>
    </w:p>
    <w:p w14:paraId="2225EFAE">
      <w:pPr>
        <w:pStyle w:val="2"/>
        <w:spacing w:line="360" w:lineRule="auto"/>
        <w:ind w:firstLine="480" w:firstLineChars="200"/>
        <w:rPr>
          <w:rFonts w:ascii="宋体" w:hAnsi="宋体" w:eastAsia="宋体"/>
          <w:sz w:val="24"/>
        </w:rPr>
      </w:pPr>
      <w:r>
        <w:rPr>
          <w:rFonts w:hint="eastAsia" w:ascii="宋体" w:hAnsi="宋体" w:eastAsia="宋体"/>
          <w:sz w:val="24"/>
        </w:rPr>
        <w:t xml:space="preserve">2.8.1 乙方的权利 </w:t>
      </w:r>
    </w:p>
    <w:p w14:paraId="2468A41B">
      <w:pPr>
        <w:pStyle w:val="2"/>
        <w:spacing w:line="360" w:lineRule="auto"/>
        <w:ind w:firstLine="480" w:firstLineChars="200"/>
        <w:rPr>
          <w:rFonts w:ascii="宋体" w:hAnsi="宋体" w:eastAsia="宋体"/>
          <w:sz w:val="24"/>
        </w:rPr>
      </w:pPr>
      <w:r>
        <w:rPr>
          <w:rFonts w:hint="eastAsia" w:ascii="宋体" w:hAnsi="宋体" w:eastAsia="宋体"/>
          <w:sz w:val="24"/>
        </w:rPr>
        <w:t>（1）有权拒绝甲方及采购单位提出的除</w:t>
      </w:r>
      <w:r>
        <w:rPr>
          <w:rFonts w:hint="eastAsia" w:ascii="宋体" w:hAnsi="宋体" w:eastAsia="宋体" w:cs="宋体"/>
          <w:kern w:val="2"/>
          <w:sz w:val="24"/>
          <w:szCs w:val="24"/>
          <w:lang w:val="en-US" w:eastAsia="zh-CN" w:bidi="ar"/>
        </w:rPr>
        <w:t>金融IC借记卡制卡及个人化服务</w:t>
      </w:r>
      <w:r>
        <w:rPr>
          <w:rFonts w:hint="eastAsia" w:ascii="宋体" w:hAnsi="宋体" w:eastAsia="宋体"/>
          <w:sz w:val="24"/>
        </w:rPr>
        <w:t xml:space="preserve">采购和乙方承诺以外的其它要求。 </w:t>
      </w:r>
    </w:p>
    <w:p w14:paraId="5D6C54A2">
      <w:pPr>
        <w:pStyle w:val="2"/>
        <w:spacing w:line="360" w:lineRule="auto"/>
        <w:ind w:firstLine="480" w:firstLineChars="200"/>
        <w:rPr>
          <w:rFonts w:ascii="宋体" w:hAnsi="宋体" w:eastAsia="宋体"/>
          <w:sz w:val="24"/>
        </w:rPr>
      </w:pPr>
      <w:r>
        <w:rPr>
          <w:rFonts w:hint="eastAsia" w:ascii="宋体" w:hAnsi="宋体" w:eastAsia="宋体"/>
          <w:sz w:val="24"/>
        </w:rPr>
        <w:t xml:space="preserve">（2）有权对甲方在日常管理工作中和采购单位在采购过程中的不正当要求和违规行为进行投诉，并要求有关部门做出处理。 </w:t>
      </w:r>
    </w:p>
    <w:p w14:paraId="1FF7A6DE">
      <w:pPr>
        <w:pStyle w:val="2"/>
        <w:spacing w:line="360" w:lineRule="auto"/>
        <w:ind w:firstLine="480" w:firstLineChars="200"/>
        <w:rPr>
          <w:rFonts w:ascii="宋体" w:hAnsi="宋体" w:eastAsia="宋体"/>
          <w:sz w:val="24"/>
        </w:rPr>
      </w:pPr>
      <w:r>
        <w:rPr>
          <w:rFonts w:hint="eastAsia" w:ascii="宋体" w:hAnsi="宋体" w:eastAsia="宋体"/>
          <w:sz w:val="24"/>
        </w:rPr>
        <w:t xml:space="preserve">2.8.2 乙方的义务 </w:t>
      </w:r>
    </w:p>
    <w:p w14:paraId="7AC94838">
      <w:pPr>
        <w:pStyle w:val="2"/>
        <w:spacing w:line="360" w:lineRule="auto"/>
        <w:ind w:firstLine="480" w:firstLineChars="200"/>
        <w:rPr>
          <w:rFonts w:ascii="宋体" w:hAnsi="宋体" w:eastAsia="宋体"/>
          <w:sz w:val="24"/>
        </w:rPr>
      </w:pPr>
      <w:r>
        <w:rPr>
          <w:rFonts w:hint="eastAsia" w:ascii="宋体" w:hAnsi="宋体" w:eastAsia="宋体"/>
          <w:sz w:val="24"/>
        </w:rPr>
        <w:t>（1）保证提供给采购单位的货物必须是符合国家相关标准,确保无水货、假货、翻新货及残次品,并能按期交货。</w:t>
      </w:r>
    </w:p>
    <w:p w14:paraId="16E487AE">
      <w:pPr>
        <w:pStyle w:val="2"/>
        <w:spacing w:line="360" w:lineRule="auto"/>
        <w:ind w:firstLine="480" w:firstLineChars="200"/>
        <w:rPr>
          <w:rFonts w:ascii="宋体" w:hAnsi="宋体" w:eastAsia="宋体"/>
          <w:sz w:val="24"/>
        </w:rPr>
      </w:pPr>
      <w:r>
        <w:rPr>
          <w:rFonts w:hint="eastAsia" w:ascii="宋体" w:hAnsi="宋体" w:eastAsia="宋体"/>
          <w:sz w:val="24"/>
        </w:rPr>
        <w:t xml:space="preserve">（2）保证提供给采购单位的货物是货物生产厂商原造的，全新、未使用过的，是用优良的工艺和优质材料制造而成的，并完全符合招标文件规定的质量要求。 </w:t>
      </w:r>
    </w:p>
    <w:p w14:paraId="5835D116">
      <w:pPr>
        <w:pStyle w:val="2"/>
        <w:spacing w:line="360" w:lineRule="auto"/>
        <w:ind w:firstLine="480" w:firstLineChars="200"/>
        <w:rPr>
          <w:rFonts w:ascii="宋体" w:hAnsi="宋体" w:eastAsia="宋体"/>
          <w:sz w:val="24"/>
        </w:rPr>
      </w:pPr>
      <w:r>
        <w:rPr>
          <w:rFonts w:hint="eastAsia" w:ascii="宋体" w:hAnsi="宋体" w:eastAsia="宋体"/>
          <w:sz w:val="24"/>
        </w:rPr>
        <w:t xml:space="preserve">（3）保证提供给采购单位的货物通过货物制造厂商的出厂检验，并向采购单位提供质量合格证书。 </w:t>
      </w:r>
    </w:p>
    <w:p w14:paraId="23A31FA5">
      <w:pPr>
        <w:pStyle w:val="2"/>
        <w:spacing w:line="360" w:lineRule="auto"/>
        <w:ind w:firstLine="480" w:firstLineChars="200"/>
        <w:rPr>
          <w:rFonts w:ascii="宋体" w:hAnsi="宋体" w:eastAsia="宋体"/>
          <w:sz w:val="24"/>
        </w:rPr>
      </w:pPr>
      <w:r>
        <w:rPr>
          <w:rFonts w:hint="eastAsia" w:ascii="宋体" w:hAnsi="宋体" w:eastAsia="宋体"/>
          <w:sz w:val="24"/>
        </w:rPr>
        <w:t xml:space="preserve">（4）服务期内，乙方应接受由甲方组织的对于框架协议金融IC借记卡制卡及个人化服务质量的检验、检查，严格履行服务承诺，做到诚实、守信，杜绝不正当竞争行为。 </w:t>
      </w:r>
    </w:p>
    <w:p w14:paraId="4401D0F0">
      <w:pPr>
        <w:pStyle w:val="2"/>
        <w:spacing w:line="360" w:lineRule="auto"/>
        <w:ind w:firstLine="480" w:firstLineChars="200"/>
        <w:rPr>
          <w:rFonts w:ascii="宋体" w:hAnsi="宋体" w:eastAsia="宋体"/>
          <w:sz w:val="24"/>
        </w:rPr>
      </w:pPr>
      <w:r>
        <w:rPr>
          <w:rFonts w:hint="eastAsia" w:ascii="宋体" w:hAnsi="宋体" w:eastAsia="宋体"/>
          <w:sz w:val="24"/>
        </w:rPr>
        <w:t xml:space="preserve">（5）加强内部管理，提高产品质量，按照框架协议和采购合同的有关规定开展框架协议采购业务，确保不发生质量问题。 </w:t>
      </w:r>
    </w:p>
    <w:p w14:paraId="14B9526B">
      <w:pPr>
        <w:pStyle w:val="2"/>
        <w:spacing w:line="360" w:lineRule="auto"/>
        <w:ind w:firstLine="480" w:firstLineChars="200"/>
        <w:rPr>
          <w:rFonts w:ascii="宋体" w:hAnsi="宋体" w:eastAsia="宋体"/>
          <w:sz w:val="24"/>
        </w:rPr>
      </w:pPr>
      <w:r>
        <w:rPr>
          <w:rFonts w:hint="eastAsia" w:ascii="宋体" w:hAnsi="宋体" w:eastAsia="宋体"/>
          <w:sz w:val="24"/>
        </w:rPr>
        <w:t>（6）建立专人负责制度。应保证至少一人专门负责宁波通商银行总行及其分支机构的</w:t>
      </w:r>
      <w:r>
        <w:rPr>
          <w:rFonts w:hint="eastAsia" w:ascii="宋体" w:hAnsi="宋体" w:eastAsia="宋体" w:cs="宋体"/>
          <w:kern w:val="2"/>
          <w:sz w:val="24"/>
          <w:szCs w:val="24"/>
          <w:lang w:val="en-US" w:eastAsia="zh-CN" w:bidi="ar"/>
        </w:rPr>
        <w:t>金融IC借记卡制卡及个人化服务</w:t>
      </w:r>
      <w:r>
        <w:rPr>
          <w:rFonts w:hint="eastAsia" w:ascii="宋体" w:hAnsi="宋体" w:eastAsia="宋体"/>
          <w:sz w:val="24"/>
        </w:rPr>
        <w:t>采购事宜，包括承接业务、沟通需求、排期生产、出厂验收、售后服务等，做到每个环节不出差错。</w:t>
      </w:r>
    </w:p>
    <w:p w14:paraId="249B946F">
      <w:pPr>
        <w:pStyle w:val="2"/>
        <w:spacing w:line="360" w:lineRule="auto"/>
        <w:ind w:firstLine="480" w:firstLineChars="200"/>
        <w:rPr>
          <w:rFonts w:ascii="宋体" w:hAnsi="宋体" w:eastAsia="宋体"/>
          <w:sz w:val="24"/>
        </w:rPr>
      </w:pPr>
      <w:r>
        <w:rPr>
          <w:rFonts w:hint="eastAsia" w:ascii="宋体" w:hAnsi="宋体" w:eastAsia="宋体"/>
          <w:sz w:val="24"/>
        </w:rPr>
        <w:t xml:space="preserve">（7）建立框架协议采购档案管理制度。乙方须将采购合同、验收单及相关资料整理归档，妥善保管，以备查验。 </w:t>
      </w:r>
    </w:p>
    <w:p w14:paraId="7F9A3DB0">
      <w:pPr>
        <w:pStyle w:val="2"/>
        <w:spacing w:line="360" w:lineRule="auto"/>
        <w:ind w:firstLine="480" w:firstLineChars="200"/>
        <w:rPr>
          <w:rFonts w:ascii="宋体" w:hAnsi="宋体" w:eastAsia="宋体"/>
          <w:sz w:val="24"/>
        </w:rPr>
      </w:pPr>
      <w:r>
        <w:rPr>
          <w:rFonts w:hint="eastAsia" w:ascii="宋体" w:hAnsi="宋体" w:eastAsia="宋体"/>
          <w:sz w:val="24"/>
        </w:rPr>
        <w:t xml:space="preserve">（8）为采购单位提供优质服务。按照与采购单位签署的合同及其他承诺服务内容提供及时有效的服务。需要上门服务的，须在48小时内到达现场。 </w:t>
      </w:r>
    </w:p>
    <w:p w14:paraId="5B3D8132">
      <w:pPr>
        <w:pStyle w:val="2"/>
        <w:spacing w:line="360" w:lineRule="auto"/>
        <w:ind w:firstLine="480" w:firstLineChars="200"/>
        <w:rPr>
          <w:rFonts w:ascii="宋体" w:hAnsi="宋体" w:eastAsia="宋体"/>
          <w:sz w:val="24"/>
        </w:rPr>
      </w:pPr>
      <w:r>
        <w:rPr>
          <w:rFonts w:hint="eastAsia" w:ascii="宋体" w:hAnsi="宋体" w:eastAsia="宋体"/>
          <w:sz w:val="24"/>
        </w:rPr>
        <w:t xml:space="preserve">（9）甲方将在框架协议采购日常管理中继续推行采购单位对供应商的评价反馈机制，乙方须做好各项配合协助工作。 </w:t>
      </w:r>
    </w:p>
    <w:p w14:paraId="61924988">
      <w:pPr>
        <w:pStyle w:val="2"/>
        <w:spacing w:line="360" w:lineRule="auto"/>
        <w:ind w:firstLine="480" w:firstLineChars="200"/>
        <w:rPr>
          <w:rFonts w:ascii="宋体" w:hAnsi="宋体" w:eastAsia="宋体"/>
          <w:sz w:val="24"/>
        </w:rPr>
      </w:pPr>
      <w:r>
        <w:rPr>
          <w:rFonts w:hint="eastAsia" w:ascii="宋体" w:hAnsi="宋体" w:eastAsia="宋体"/>
          <w:sz w:val="24"/>
        </w:rPr>
        <w:t>3.违约责任和监督管理</w:t>
      </w:r>
    </w:p>
    <w:p w14:paraId="441BD59A">
      <w:pPr>
        <w:pStyle w:val="2"/>
        <w:spacing w:line="360" w:lineRule="auto"/>
        <w:ind w:firstLine="480" w:firstLineChars="200"/>
        <w:rPr>
          <w:rFonts w:ascii="宋体" w:hAnsi="宋体" w:eastAsia="宋体"/>
          <w:sz w:val="24"/>
        </w:rPr>
      </w:pPr>
      <w:r>
        <w:rPr>
          <w:rFonts w:hint="eastAsia" w:ascii="宋体" w:hAnsi="宋体" w:eastAsia="宋体"/>
          <w:sz w:val="24"/>
        </w:rPr>
        <w:t xml:space="preserve">3.1 乙方应按与采购单位签订的金融IC借记卡制卡及个人化服务采购合同约定的交货数量、质量、期限完成供货。逾期未完成的，乙方应按与采购单位签订的金融IC借记卡制卡及个人化服务采购合同约定，给予采购单位经济赔偿。 </w:t>
      </w:r>
    </w:p>
    <w:p w14:paraId="7ADE3DB3">
      <w:pPr>
        <w:pStyle w:val="2"/>
        <w:spacing w:line="360" w:lineRule="auto"/>
        <w:ind w:firstLine="480" w:firstLineChars="200"/>
        <w:rPr>
          <w:rFonts w:ascii="宋体" w:hAnsi="宋体" w:eastAsia="宋体"/>
          <w:sz w:val="24"/>
        </w:rPr>
      </w:pPr>
      <w:r>
        <w:rPr>
          <w:rFonts w:hint="eastAsia" w:ascii="宋体" w:hAnsi="宋体" w:eastAsia="宋体"/>
          <w:sz w:val="24"/>
        </w:rPr>
        <w:t xml:space="preserve">3.2 乙方对所提供的货物服务与协议要求不符负有责任。因产品质量给甲方或采购单位造成的损失，乙方应承担相应的赔偿责任。 </w:t>
      </w:r>
    </w:p>
    <w:p w14:paraId="3AF1E42E">
      <w:pPr>
        <w:pStyle w:val="2"/>
        <w:spacing w:line="360" w:lineRule="auto"/>
        <w:ind w:firstLine="480" w:firstLineChars="200"/>
        <w:rPr>
          <w:rFonts w:ascii="宋体" w:hAnsi="宋体" w:eastAsia="宋体"/>
          <w:sz w:val="24"/>
        </w:rPr>
      </w:pPr>
      <w:r>
        <w:rPr>
          <w:rFonts w:hint="eastAsia" w:ascii="宋体" w:hAnsi="宋体" w:eastAsia="宋体"/>
          <w:sz w:val="24"/>
        </w:rPr>
        <w:t xml:space="preserve">3.3监督管理 </w:t>
      </w:r>
    </w:p>
    <w:p w14:paraId="6CCB7EC4">
      <w:pPr>
        <w:pStyle w:val="2"/>
        <w:spacing w:line="360" w:lineRule="auto"/>
        <w:ind w:firstLine="480" w:firstLineChars="200"/>
        <w:rPr>
          <w:rFonts w:ascii="宋体" w:hAnsi="宋体" w:eastAsia="宋体"/>
          <w:sz w:val="24"/>
        </w:rPr>
      </w:pPr>
      <w:r>
        <w:rPr>
          <w:rFonts w:hint="eastAsia" w:ascii="宋体" w:hAnsi="宋体" w:eastAsia="宋体"/>
          <w:sz w:val="24"/>
        </w:rPr>
        <w:t xml:space="preserve">3.3.1 甲方对入围框架协议企业的履约情况实行日常监督管理。 </w:t>
      </w:r>
    </w:p>
    <w:p w14:paraId="55CB1F09">
      <w:pPr>
        <w:pStyle w:val="2"/>
        <w:spacing w:line="360" w:lineRule="auto"/>
        <w:ind w:firstLine="480" w:firstLineChars="200"/>
        <w:rPr>
          <w:rFonts w:ascii="宋体" w:hAnsi="宋体" w:eastAsia="宋体"/>
          <w:sz w:val="24"/>
        </w:rPr>
      </w:pPr>
      <w:r>
        <w:rPr>
          <w:rFonts w:hint="eastAsia" w:ascii="宋体" w:hAnsi="宋体" w:eastAsia="宋体"/>
          <w:sz w:val="24"/>
        </w:rPr>
        <w:t>3.3.2 采购单位投诉乙方或甲方随机抽检</w:t>
      </w:r>
      <w:r>
        <w:rPr>
          <w:rFonts w:hint="eastAsia" w:ascii="宋体" w:hAnsi="宋体" w:eastAsia="宋体" w:cs="宋体"/>
          <w:kern w:val="2"/>
          <w:sz w:val="24"/>
          <w:szCs w:val="24"/>
          <w:lang w:val="en-US" w:eastAsia="zh-CN" w:bidi="ar"/>
        </w:rPr>
        <w:t>金融IC借记卡制卡及个人化服务</w:t>
      </w:r>
      <w:r>
        <w:rPr>
          <w:rFonts w:hint="eastAsia" w:ascii="宋体" w:hAnsi="宋体" w:eastAsia="宋体"/>
          <w:sz w:val="24"/>
        </w:rPr>
        <w:t xml:space="preserve">采购项目时，经甲方查实有下列问题的，将视情况暂停或终止该项入围产品及服务的提供资格，直至暂停或终止全部入围产品及服务的提供资格。由此给采购单位造成损失的，应当予以赔偿，同时依法承担相应法律责任： </w:t>
      </w:r>
    </w:p>
    <w:p w14:paraId="6C728398">
      <w:pPr>
        <w:pStyle w:val="2"/>
        <w:spacing w:line="360" w:lineRule="auto"/>
        <w:ind w:firstLine="480" w:firstLineChars="200"/>
        <w:rPr>
          <w:rFonts w:ascii="宋体" w:hAnsi="宋体" w:eastAsia="宋体"/>
          <w:sz w:val="24"/>
        </w:rPr>
      </w:pPr>
      <w:r>
        <w:rPr>
          <w:rFonts w:hint="eastAsia" w:ascii="宋体" w:hAnsi="宋体" w:eastAsia="宋体"/>
          <w:sz w:val="24"/>
        </w:rPr>
        <w:t xml:space="preserve">（1）超出入围报价向采购单位提供金融IC借记卡制卡及个人化服务的； </w:t>
      </w:r>
    </w:p>
    <w:p w14:paraId="002F4A92">
      <w:pPr>
        <w:pStyle w:val="2"/>
        <w:spacing w:line="360" w:lineRule="auto"/>
        <w:ind w:firstLine="480" w:firstLineChars="200"/>
        <w:rPr>
          <w:rFonts w:ascii="宋体" w:hAnsi="宋体" w:eastAsia="宋体"/>
          <w:sz w:val="24"/>
        </w:rPr>
      </w:pPr>
      <w:r>
        <w:rPr>
          <w:rFonts w:hint="eastAsia" w:ascii="宋体" w:hAnsi="宋体" w:eastAsia="宋体"/>
          <w:sz w:val="24"/>
        </w:rPr>
        <w:t xml:space="preserve">（2）向采购单位提供的金融IC借记卡制卡及个人化服务明显高于市场同类产品价格的； </w:t>
      </w:r>
    </w:p>
    <w:p w14:paraId="314C6954">
      <w:pPr>
        <w:pStyle w:val="2"/>
        <w:spacing w:line="360" w:lineRule="auto"/>
        <w:ind w:firstLine="480" w:firstLineChars="200"/>
        <w:rPr>
          <w:rFonts w:ascii="宋体" w:hAnsi="宋体" w:eastAsia="宋体"/>
          <w:sz w:val="24"/>
        </w:rPr>
      </w:pPr>
      <w:r>
        <w:rPr>
          <w:rFonts w:hint="eastAsia" w:ascii="宋体" w:hAnsi="宋体" w:eastAsia="宋体"/>
          <w:sz w:val="24"/>
        </w:rPr>
        <w:t xml:space="preserve">（3）向采购单位提供的产品质量较差，不满足用户需求、供货合同、招标文件、乙方投标文件和框架协议规定标准的； </w:t>
      </w:r>
    </w:p>
    <w:p w14:paraId="5B718E63">
      <w:pPr>
        <w:pStyle w:val="2"/>
        <w:spacing w:line="360" w:lineRule="auto"/>
        <w:ind w:firstLine="480" w:firstLineChars="200"/>
        <w:rPr>
          <w:rFonts w:ascii="宋体" w:hAnsi="宋体" w:eastAsia="宋体"/>
          <w:sz w:val="24"/>
        </w:rPr>
      </w:pPr>
      <w:r>
        <w:rPr>
          <w:rFonts w:hint="eastAsia" w:ascii="宋体" w:hAnsi="宋体" w:eastAsia="宋体"/>
          <w:sz w:val="24"/>
        </w:rPr>
        <w:t xml:space="preserve">（4）除不可抗力之外的原因不与采购单位签订合同的或不按成交结果履约的； </w:t>
      </w:r>
    </w:p>
    <w:p w14:paraId="2E705025">
      <w:pPr>
        <w:pStyle w:val="2"/>
        <w:spacing w:line="360" w:lineRule="auto"/>
        <w:ind w:firstLine="480" w:firstLineChars="200"/>
        <w:rPr>
          <w:rFonts w:ascii="宋体" w:hAnsi="宋体" w:eastAsia="宋体"/>
          <w:sz w:val="24"/>
        </w:rPr>
      </w:pPr>
      <w:r>
        <w:rPr>
          <w:rFonts w:hint="eastAsia" w:ascii="宋体" w:hAnsi="宋体" w:eastAsia="宋体"/>
          <w:sz w:val="24"/>
        </w:rPr>
        <w:t xml:space="preserve">（5）协议有效期内，未按招标文件及投标文件履约，被采购单位投诉并核实的； </w:t>
      </w:r>
    </w:p>
    <w:p w14:paraId="25BF6FAA">
      <w:pPr>
        <w:pStyle w:val="2"/>
        <w:spacing w:line="360" w:lineRule="auto"/>
        <w:ind w:firstLine="480" w:firstLineChars="200"/>
        <w:rPr>
          <w:rFonts w:ascii="宋体" w:hAnsi="宋体" w:eastAsia="宋体"/>
          <w:sz w:val="24"/>
        </w:rPr>
      </w:pPr>
      <w:r>
        <w:rPr>
          <w:rFonts w:hint="eastAsia" w:ascii="宋体" w:hAnsi="宋体" w:eastAsia="宋体"/>
          <w:sz w:val="24"/>
        </w:rPr>
        <w:t xml:space="preserve">（6）违反协议约定，在采购单位通知其纠正的限期内未能纠正的； </w:t>
      </w:r>
    </w:p>
    <w:p w14:paraId="3C2B8687">
      <w:pPr>
        <w:pStyle w:val="2"/>
        <w:spacing w:line="360" w:lineRule="auto"/>
        <w:ind w:firstLine="480" w:firstLineChars="200"/>
        <w:rPr>
          <w:rFonts w:ascii="宋体" w:hAnsi="宋体" w:eastAsia="宋体"/>
          <w:sz w:val="24"/>
        </w:rPr>
      </w:pPr>
      <w:r>
        <w:rPr>
          <w:rFonts w:hint="eastAsia" w:ascii="宋体" w:hAnsi="宋体" w:eastAsia="宋体"/>
          <w:sz w:val="24"/>
        </w:rPr>
        <w:t xml:space="preserve">（7）其他违约情况。 </w:t>
      </w:r>
    </w:p>
    <w:p w14:paraId="6CD4C49A">
      <w:pPr>
        <w:pStyle w:val="2"/>
        <w:spacing w:line="360" w:lineRule="auto"/>
        <w:ind w:firstLine="480" w:firstLineChars="200"/>
        <w:rPr>
          <w:rFonts w:ascii="宋体" w:hAnsi="宋体" w:eastAsia="宋体"/>
          <w:sz w:val="24"/>
        </w:rPr>
      </w:pPr>
      <w:r>
        <w:rPr>
          <w:rFonts w:hint="eastAsia" w:ascii="宋体" w:hAnsi="宋体" w:eastAsia="宋体"/>
          <w:sz w:val="24"/>
        </w:rPr>
        <w:t>3.3.3 乙方出现下列情况之一者，一经采购人核实，终止本期</w:t>
      </w:r>
      <w:r>
        <w:rPr>
          <w:rFonts w:hint="eastAsia" w:ascii="宋体" w:hAnsi="宋体" w:eastAsia="宋体"/>
          <w:sz w:val="24"/>
          <w:lang w:eastAsia="zh-CN"/>
        </w:rPr>
        <w:t>金融IC借记卡制卡及个人化服务</w:t>
      </w:r>
      <w:r>
        <w:rPr>
          <w:rFonts w:hint="eastAsia" w:ascii="宋体" w:hAnsi="宋体" w:eastAsia="宋体"/>
          <w:sz w:val="24"/>
        </w:rPr>
        <w:t xml:space="preserve">框架协议执行，由此给采购单位造成损失的，应当予以赔偿，同时承担相应法律责任： </w:t>
      </w:r>
    </w:p>
    <w:p w14:paraId="398746CD">
      <w:pPr>
        <w:pStyle w:val="2"/>
        <w:spacing w:line="360" w:lineRule="auto"/>
        <w:ind w:firstLine="480" w:firstLineChars="200"/>
        <w:rPr>
          <w:rFonts w:ascii="宋体" w:hAnsi="宋体" w:eastAsia="宋体"/>
          <w:sz w:val="24"/>
        </w:rPr>
      </w:pPr>
      <w:r>
        <w:rPr>
          <w:rFonts w:hint="eastAsia" w:ascii="宋体" w:hAnsi="宋体" w:eastAsia="宋体"/>
          <w:sz w:val="24"/>
        </w:rPr>
        <w:t xml:space="preserve">（1）采取挂靠、借用资质参加本项目并入围的； </w:t>
      </w:r>
    </w:p>
    <w:p w14:paraId="15B3EDE2">
      <w:pPr>
        <w:pStyle w:val="2"/>
        <w:spacing w:line="360" w:lineRule="auto"/>
        <w:ind w:firstLine="480" w:firstLineChars="200"/>
        <w:rPr>
          <w:rFonts w:ascii="宋体" w:hAnsi="宋体" w:eastAsia="宋体"/>
          <w:sz w:val="24"/>
        </w:rPr>
      </w:pPr>
      <w:r>
        <w:rPr>
          <w:rFonts w:hint="eastAsia" w:ascii="宋体" w:hAnsi="宋体" w:eastAsia="宋体"/>
          <w:sz w:val="24"/>
        </w:rPr>
        <w:t xml:space="preserve">（2）在本项目投标过程中提供虚假材料谋取入围的； </w:t>
      </w:r>
    </w:p>
    <w:p w14:paraId="32B9AE8D">
      <w:pPr>
        <w:pStyle w:val="2"/>
        <w:spacing w:line="360" w:lineRule="auto"/>
        <w:ind w:firstLine="480" w:firstLineChars="200"/>
        <w:rPr>
          <w:rFonts w:ascii="宋体" w:hAnsi="宋体" w:eastAsia="宋体"/>
          <w:sz w:val="24"/>
        </w:rPr>
      </w:pPr>
      <w:r>
        <w:rPr>
          <w:rFonts w:hint="eastAsia" w:ascii="宋体" w:hAnsi="宋体" w:eastAsia="宋体"/>
          <w:sz w:val="24"/>
        </w:rPr>
        <w:t xml:space="preserve">（3）通过行贿等非法手段，获取框架协议服务项目，经有关部门核查属实的； </w:t>
      </w:r>
    </w:p>
    <w:p w14:paraId="186A1A96">
      <w:pPr>
        <w:pStyle w:val="2"/>
        <w:spacing w:line="360" w:lineRule="auto"/>
        <w:ind w:firstLine="480" w:firstLineChars="200"/>
        <w:rPr>
          <w:rFonts w:ascii="宋体" w:hAnsi="宋体" w:eastAsia="宋体"/>
          <w:sz w:val="24"/>
        </w:rPr>
      </w:pPr>
      <w:r>
        <w:rPr>
          <w:rFonts w:hint="eastAsia" w:ascii="宋体" w:hAnsi="宋体" w:eastAsia="宋体"/>
          <w:sz w:val="24"/>
        </w:rPr>
        <w:t xml:space="preserve">（4）未按有关规定支付生产服务人员工资，造成人员上访等事件的； </w:t>
      </w:r>
    </w:p>
    <w:p w14:paraId="398AAB48">
      <w:pPr>
        <w:pStyle w:val="2"/>
        <w:spacing w:line="360" w:lineRule="auto"/>
        <w:ind w:firstLine="480" w:firstLineChars="200"/>
        <w:rPr>
          <w:rFonts w:ascii="宋体" w:hAnsi="宋体" w:eastAsia="宋体"/>
          <w:sz w:val="24"/>
        </w:rPr>
      </w:pPr>
      <w:r>
        <w:rPr>
          <w:rFonts w:hint="eastAsia" w:ascii="宋体" w:hAnsi="宋体" w:eastAsia="宋体"/>
          <w:sz w:val="24"/>
        </w:rPr>
        <w:t xml:space="preserve">（5）履行协议过程中因管理或人为原因造成安全等级事故的； </w:t>
      </w:r>
    </w:p>
    <w:p w14:paraId="17D9CB3D">
      <w:pPr>
        <w:pStyle w:val="2"/>
        <w:spacing w:line="360" w:lineRule="auto"/>
        <w:ind w:firstLine="480" w:firstLineChars="200"/>
        <w:rPr>
          <w:rFonts w:ascii="宋体" w:hAnsi="宋体" w:eastAsia="宋体"/>
          <w:sz w:val="24"/>
        </w:rPr>
      </w:pPr>
      <w:r>
        <w:rPr>
          <w:rFonts w:hint="eastAsia" w:ascii="宋体" w:hAnsi="宋体" w:eastAsia="宋体"/>
          <w:sz w:val="24"/>
        </w:rPr>
        <w:t>（6）将所承担的项目未经采购单位允许部分或全部转包给他人的；</w:t>
      </w:r>
    </w:p>
    <w:p w14:paraId="1956B416">
      <w:pPr>
        <w:pStyle w:val="2"/>
        <w:spacing w:line="360" w:lineRule="auto"/>
        <w:ind w:firstLine="480" w:firstLineChars="200"/>
        <w:rPr>
          <w:rFonts w:ascii="宋体" w:hAnsi="宋体" w:eastAsia="宋体"/>
          <w:sz w:val="24"/>
        </w:rPr>
      </w:pPr>
      <w:r>
        <w:rPr>
          <w:rFonts w:hint="eastAsia" w:ascii="宋体" w:hAnsi="宋体" w:eastAsia="宋体"/>
          <w:sz w:val="24"/>
        </w:rPr>
        <w:t xml:space="preserve">（7）协议有效期内，出现重大违法记录或被行业主管部门取消生产服务资格的； </w:t>
      </w:r>
    </w:p>
    <w:p w14:paraId="2E476A10">
      <w:pPr>
        <w:pStyle w:val="2"/>
        <w:spacing w:line="360" w:lineRule="auto"/>
        <w:ind w:firstLine="480" w:firstLineChars="200"/>
        <w:rPr>
          <w:rFonts w:ascii="宋体" w:hAnsi="宋体" w:eastAsia="宋体"/>
          <w:sz w:val="24"/>
        </w:rPr>
      </w:pPr>
      <w:r>
        <w:rPr>
          <w:rFonts w:hint="eastAsia" w:ascii="宋体" w:hAnsi="宋体" w:eastAsia="宋体"/>
          <w:sz w:val="24"/>
        </w:rPr>
        <w:t xml:space="preserve">（8）其他违反国家法律法规的情况。 </w:t>
      </w:r>
    </w:p>
    <w:p w14:paraId="04BCB8E4">
      <w:pPr>
        <w:pStyle w:val="2"/>
        <w:spacing w:line="360" w:lineRule="auto"/>
        <w:ind w:firstLine="480" w:firstLineChars="200"/>
        <w:rPr>
          <w:rFonts w:ascii="宋体" w:hAnsi="宋体" w:eastAsia="宋体"/>
          <w:sz w:val="24"/>
        </w:rPr>
      </w:pPr>
      <w:r>
        <w:rPr>
          <w:rFonts w:hint="eastAsia" w:ascii="宋体" w:hAnsi="宋体" w:eastAsia="宋体"/>
          <w:sz w:val="24"/>
        </w:rPr>
        <w:t xml:space="preserve">3.3.4 乙方须积极配合甲方在管理过程中的各项合理要求，否则甲方将视情节轻重予以暂停直至终止协议。 </w:t>
      </w:r>
    </w:p>
    <w:p w14:paraId="570DA478">
      <w:pPr>
        <w:pStyle w:val="2"/>
        <w:spacing w:line="360" w:lineRule="auto"/>
        <w:ind w:firstLine="480" w:firstLineChars="200"/>
        <w:rPr>
          <w:rFonts w:ascii="宋体" w:hAnsi="宋体" w:eastAsia="宋体"/>
          <w:sz w:val="24"/>
        </w:rPr>
      </w:pPr>
      <w:r>
        <w:rPr>
          <w:rFonts w:hint="eastAsia" w:ascii="宋体" w:hAnsi="宋体" w:eastAsia="宋体"/>
          <w:sz w:val="24"/>
        </w:rPr>
        <w:t xml:space="preserve">3.3.5 针对乙方出现上述各类问题，甲方保留依法追究乙方其他法律责任的权利。 </w:t>
      </w:r>
    </w:p>
    <w:p w14:paraId="416B7ECA">
      <w:pPr>
        <w:pStyle w:val="2"/>
        <w:spacing w:line="360" w:lineRule="auto"/>
        <w:ind w:firstLine="480" w:firstLineChars="200"/>
        <w:rPr>
          <w:rFonts w:ascii="宋体" w:hAnsi="宋体" w:eastAsia="宋体"/>
          <w:sz w:val="24"/>
        </w:rPr>
      </w:pPr>
      <w:r>
        <w:rPr>
          <w:rFonts w:hint="eastAsia" w:ascii="宋体" w:hAnsi="宋体" w:eastAsia="宋体"/>
          <w:sz w:val="24"/>
        </w:rPr>
        <w:t xml:space="preserve">4.合同授予规则 </w:t>
      </w:r>
    </w:p>
    <w:p w14:paraId="53EBD423">
      <w:pPr>
        <w:pStyle w:val="2"/>
        <w:spacing w:line="360" w:lineRule="auto"/>
        <w:ind w:firstLine="480" w:firstLineChars="200"/>
        <w:rPr>
          <w:rFonts w:ascii="宋体" w:hAnsi="宋体" w:eastAsia="宋体"/>
          <w:sz w:val="24"/>
        </w:rPr>
      </w:pPr>
      <w:r>
        <w:rPr>
          <w:rFonts w:hint="eastAsia" w:ascii="宋体" w:hAnsi="宋体" w:eastAsia="宋体"/>
          <w:sz w:val="24"/>
        </w:rPr>
        <w:t>4.1 乙方在第一阶段的投标报价（有量价关系折扣的，包括量价关系折扣）是采购人确定第二阶段成交供应商的最高限价。</w:t>
      </w:r>
    </w:p>
    <w:p w14:paraId="19362ADE">
      <w:pPr>
        <w:pStyle w:val="2"/>
        <w:spacing w:line="360" w:lineRule="auto"/>
        <w:ind w:firstLine="480" w:firstLineChars="200"/>
        <w:rPr>
          <w:rFonts w:ascii="宋体" w:hAnsi="宋体" w:eastAsia="宋体"/>
          <w:sz w:val="24"/>
        </w:rPr>
      </w:pPr>
      <w:r>
        <w:rPr>
          <w:rFonts w:hint="eastAsia" w:ascii="宋体" w:hAnsi="宋体" w:eastAsia="宋体"/>
          <w:sz w:val="24"/>
        </w:rPr>
        <w:t>4.2 确定第二阶段成交供应商的方式</w:t>
      </w:r>
    </w:p>
    <w:p w14:paraId="4E174C8E">
      <w:pPr>
        <w:pStyle w:val="2"/>
        <w:spacing w:line="360" w:lineRule="auto"/>
        <w:ind w:firstLine="480" w:firstLineChars="200"/>
        <w:rPr>
          <w:rFonts w:ascii="宋体" w:hAnsi="宋体" w:eastAsia="宋体"/>
          <w:sz w:val="24"/>
        </w:rPr>
      </w:pPr>
      <w:r>
        <w:rPr>
          <w:rFonts w:hint="eastAsia" w:ascii="宋体" w:hAnsi="宋体" w:eastAsia="宋体"/>
          <w:sz w:val="24"/>
        </w:rPr>
        <w:t>4.2.1 采购人根据其内部规定和实际情况，通过直接选定方式确定成交供应商。</w:t>
      </w:r>
    </w:p>
    <w:p w14:paraId="4DAF3B28">
      <w:pPr>
        <w:pStyle w:val="2"/>
        <w:spacing w:line="360" w:lineRule="auto"/>
        <w:ind w:firstLine="480" w:firstLineChars="200"/>
        <w:rPr>
          <w:rFonts w:ascii="宋体" w:hAnsi="宋体" w:eastAsia="宋体"/>
          <w:sz w:val="24"/>
          <w:lang w:val="en-US"/>
        </w:rPr>
      </w:pPr>
      <w:r>
        <w:rPr>
          <w:rFonts w:hint="eastAsia" w:ascii="宋体" w:hAnsi="宋体" w:eastAsia="宋体"/>
          <w:sz w:val="24"/>
          <w:lang w:val="en-US"/>
        </w:rPr>
        <w:t>4.2.2 直接选定方式是指由甲方或其分支机构依据入围产品及服务价格、服务便利性、响应速度、用户评价等因素，从第一阶段入围供应商中直接先定成交供应商，并与之下达订单进行采购。</w:t>
      </w:r>
    </w:p>
    <w:p w14:paraId="6EE0CF7B">
      <w:pPr>
        <w:pStyle w:val="2"/>
        <w:spacing w:line="360" w:lineRule="auto"/>
        <w:ind w:firstLine="480" w:firstLineChars="200"/>
        <w:rPr>
          <w:rFonts w:ascii="宋体" w:hAnsi="宋体" w:eastAsia="宋体"/>
          <w:sz w:val="24"/>
        </w:rPr>
      </w:pPr>
      <w:r>
        <w:rPr>
          <w:rFonts w:hint="eastAsia" w:ascii="宋体" w:hAnsi="宋体" w:eastAsia="宋体"/>
          <w:sz w:val="24"/>
        </w:rPr>
        <w:t>5.履约保证金</w:t>
      </w:r>
    </w:p>
    <w:p w14:paraId="4184911A">
      <w:pPr>
        <w:pStyle w:val="2"/>
        <w:spacing w:line="360" w:lineRule="auto"/>
        <w:ind w:firstLine="480" w:firstLineChars="200"/>
        <w:rPr>
          <w:rFonts w:ascii="宋体" w:hAnsi="宋体" w:eastAsia="宋体"/>
          <w:sz w:val="24"/>
        </w:rPr>
      </w:pPr>
      <w:r>
        <w:rPr>
          <w:rFonts w:hint="eastAsia" w:ascii="宋体" w:hAnsi="宋体" w:eastAsia="宋体"/>
          <w:sz w:val="24"/>
        </w:rPr>
        <w:t>本期金融IC借记卡制卡及个人化服务框架协议乙方须</w:t>
      </w:r>
      <w:r>
        <w:rPr>
          <w:rFonts w:hint="eastAsia" w:ascii="宋体" w:hAnsi="宋体" w:eastAsia="宋体"/>
          <w:sz w:val="24"/>
          <w:lang w:val="en-US"/>
        </w:rPr>
        <w:t>通过转账/电汇方式</w:t>
      </w:r>
      <w:r>
        <w:rPr>
          <w:rFonts w:hint="eastAsia" w:ascii="宋体" w:hAnsi="宋体" w:eastAsia="宋体"/>
          <w:sz w:val="24"/>
        </w:rPr>
        <w:t>向甲方缴纳人民币</w:t>
      </w:r>
      <w:r>
        <w:rPr>
          <w:rFonts w:hint="eastAsia" w:ascii="宋体" w:hAnsi="宋体" w:eastAsia="宋体"/>
          <w:sz w:val="24"/>
          <w:lang w:val="en-US"/>
        </w:rPr>
        <w:t>2</w:t>
      </w:r>
      <w:r>
        <w:rPr>
          <w:rFonts w:hint="eastAsia" w:ascii="宋体" w:hAnsi="宋体" w:eastAsia="宋体"/>
          <w:sz w:val="24"/>
        </w:rPr>
        <w:t>000元履约保证金，</w:t>
      </w:r>
      <w:r>
        <w:rPr>
          <w:rFonts w:hint="eastAsia" w:ascii="宋体" w:hAnsi="宋体" w:eastAsia="宋体"/>
          <w:sz w:val="24"/>
          <w:lang w:val="en-US"/>
        </w:rPr>
        <w:t>当</w:t>
      </w:r>
      <w:r>
        <w:rPr>
          <w:rFonts w:hint="eastAsia" w:ascii="宋体" w:hAnsi="宋体" w:eastAsia="宋体"/>
          <w:sz w:val="24"/>
        </w:rPr>
        <w:t>完成银联验收及开卡测试验证</w:t>
      </w:r>
      <w:r>
        <w:rPr>
          <w:rFonts w:hint="eastAsia" w:ascii="宋体" w:hAnsi="宋体" w:eastAsia="宋体"/>
          <w:sz w:val="24"/>
          <w:lang w:val="en-US"/>
        </w:rPr>
        <w:t>后，甲方予以退还</w:t>
      </w:r>
      <w:r>
        <w:rPr>
          <w:rFonts w:hint="eastAsia" w:ascii="宋体" w:hAnsi="宋体" w:eastAsia="宋体"/>
          <w:sz w:val="24"/>
        </w:rPr>
        <w:t>。</w:t>
      </w:r>
    </w:p>
    <w:p w14:paraId="15BF702F">
      <w:pPr>
        <w:pStyle w:val="2"/>
        <w:spacing w:line="360" w:lineRule="auto"/>
        <w:ind w:firstLine="480" w:firstLineChars="200"/>
        <w:rPr>
          <w:rFonts w:ascii="宋体" w:hAnsi="宋体" w:eastAsia="宋体"/>
          <w:sz w:val="24"/>
        </w:rPr>
      </w:pPr>
      <w:r>
        <w:rPr>
          <w:rFonts w:hint="eastAsia" w:ascii="宋体" w:hAnsi="宋体" w:eastAsia="宋体"/>
          <w:sz w:val="24"/>
        </w:rPr>
        <w:t xml:space="preserve">6.争议的解决 </w:t>
      </w:r>
    </w:p>
    <w:p w14:paraId="6C3F7777">
      <w:pPr>
        <w:pStyle w:val="2"/>
        <w:spacing w:line="360" w:lineRule="auto"/>
        <w:ind w:firstLine="480" w:firstLineChars="200"/>
        <w:rPr>
          <w:rFonts w:ascii="宋体" w:hAnsi="宋体" w:eastAsia="宋体"/>
          <w:sz w:val="24"/>
        </w:rPr>
      </w:pPr>
      <w:r>
        <w:rPr>
          <w:rFonts w:hint="eastAsia" w:ascii="宋体" w:hAnsi="宋体" w:eastAsia="宋体"/>
          <w:sz w:val="24"/>
        </w:rPr>
        <w:t xml:space="preserve">在执行本协议中发生的与本协议有关的争端，甲乙双方应通过友好协商解决，经协商不能达成协议时，由甲方所在地人民法院管辖。 </w:t>
      </w:r>
    </w:p>
    <w:p w14:paraId="59D6F981">
      <w:pPr>
        <w:pStyle w:val="2"/>
        <w:spacing w:line="360" w:lineRule="auto"/>
        <w:ind w:firstLine="480" w:firstLineChars="200"/>
        <w:rPr>
          <w:rFonts w:ascii="宋体" w:hAnsi="宋体" w:eastAsia="宋体"/>
          <w:sz w:val="24"/>
        </w:rPr>
      </w:pPr>
      <w:r>
        <w:rPr>
          <w:rFonts w:hint="eastAsia" w:ascii="宋体" w:hAnsi="宋体" w:eastAsia="宋体"/>
          <w:sz w:val="24"/>
        </w:rPr>
        <w:t xml:space="preserve">7.协议生效 </w:t>
      </w:r>
    </w:p>
    <w:p w14:paraId="272EABA6">
      <w:pPr>
        <w:pStyle w:val="2"/>
        <w:spacing w:line="360" w:lineRule="auto"/>
        <w:ind w:firstLine="480" w:firstLineChars="200"/>
        <w:rPr>
          <w:rFonts w:ascii="宋体" w:hAnsi="宋体" w:eastAsia="宋体"/>
          <w:sz w:val="24"/>
        </w:rPr>
      </w:pPr>
      <w:r>
        <w:rPr>
          <w:rFonts w:hint="eastAsia" w:ascii="宋体" w:hAnsi="宋体" w:eastAsia="宋体"/>
          <w:sz w:val="24"/>
        </w:rPr>
        <w:t xml:space="preserve">7.1 除非协议中另有说明，本协议经甲乙双方盖章即开始生效。 </w:t>
      </w:r>
    </w:p>
    <w:p w14:paraId="447BB45B">
      <w:pPr>
        <w:pStyle w:val="2"/>
        <w:spacing w:line="360" w:lineRule="auto"/>
        <w:ind w:firstLine="480" w:firstLineChars="200"/>
        <w:rPr>
          <w:rFonts w:ascii="宋体" w:hAnsi="宋体" w:eastAsia="宋体"/>
          <w:sz w:val="24"/>
        </w:rPr>
      </w:pPr>
      <w:r>
        <w:rPr>
          <w:rFonts w:hint="eastAsia" w:ascii="宋体" w:hAnsi="宋体" w:eastAsia="宋体"/>
          <w:sz w:val="24"/>
        </w:rPr>
        <w:t xml:space="preserve">7.2 本协议中的附件均为本协议不可分割的部分，与本协议具有同等的法律效力。 </w:t>
      </w:r>
    </w:p>
    <w:p w14:paraId="58C2D19C">
      <w:pPr>
        <w:pStyle w:val="2"/>
        <w:spacing w:line="360" w:lineRule="auto"/>
        <w:ind w:firstLine="480" w:firstLineChars="200"/>
        <w:rPr>
          <w:rFonts w:ascii="宋体" w:hAnsi="宋体" w:eastAsia="宋体"/>
          <w:sz w:val="24"/>
        </w:rPr>
      </w:pPr>
      <w:r>
        <w:rPr>
          <w:rFonts w:hint="eastAsia" w:ascii="宋体" w:hAnsi="宋体" w:eastAsia="宋体"/>
          <w:sz w:val="24"/>
        </w:rPr>
        <w:t xml:space="preserve">7.3 本协议期满后，在本协议有效期内乙方与采购单位签订的供货合同，在其约定的合同期限内继续有效。 </w:t>
      </w:r>
    </w:p>
    <w:p w14:paraId="44F0439C">
      <w:pPr>
        <w:pStyle w:val="2"/>
        <w:spacing w:line="360" w:lineRule="auto"/>
        <w:ind w:firstLine="480" w:firstLineChars="200"/>
        <w:rPr>
          <w:rFonts w:ascii="宋体" w:hAnsi="宋体" w:eastAsia="宋体"/>
          <w:sz w:val="24"/>
        </w:rPr>
      </w:pPr>
      <w:r>
        <w:rPr>
          <w:rFonts w:hint="eastAsia" w:ascii="宋体" w:hAnsi="宋体" w:eastAsia="宋体"/>
          <w:sz w:val="24"/>
        </w:rPr>
        <w:t xml:space="preserve">8.协议的终止或延长 </w:t>
      </w:r>
    </w:p>
    <w:p w14:paraId="505E8DC4">
      <w:pPr>
        <w:pStyle w:val="2"/>
        <w:spacing w:line="360" w:lineRule="auto"/>
        <w:ind w:firstLine="480" w:firstLineChars="200"/>
        <w:rPr>
          <w:rFonts w:ascii="宋体" w:hAnsi="宋体" w:eastAsia="宋体"/>
          <w:sz w:val="24"/>
        </w:rPr>
      </w:pPr>
      <w:r>
        <w:rPr>
          <w:rFonts w:hint="eastAsia" w:ascii="宋体" w:hAnsi="宋体" w:eastAsia="宋体"/>
          <w:sz w:val="24"/>
        </w:rPr>
        <w:t>8.1 本协议有效期为：</w:t>
      </w:r>
      <w:r>
        <w:rPr>
          <w:rFonts w:hint="eastAsia" w:ascii="宋体" w:hAnsi="宋体" w:eastAsia="宋体"/>
          <w:b/>
          <w:sz w:val="24"/>
        </w:rPr>
        <w:t>自本框架协议签订之日起2年。</w:t>
      </w:r>
    </w:p>
    <w:p w14:paraId="567166BA">
      <w:pPr>
        <w:pStyle w:val="2"/>
        <w:spacing w:line="360" w:lineRule="auto"/>
        <w:ind w:firstLine="480" w:firstLineChars="200"/>
        <w:rPr>
          <w:rFonts w:ascii="宋体" w:hAnsi="宋体" w:eastAsia="宋体"/>
          <w:sz w:val="24"/>
        </w:rPr>
      </w:pPr>
      <w:r>
        <w:rPr>
          <w:rFonts w:hint="eastAsia" w:ascii="宋体" w:hAnsi="宋体" w:eastAsia="宋体"/>
          <w:sz w:val="24"/>
        </w:rPr>
        <w:t xml:space="preserve">8.2 协议期内,乙方可正式函告甲方，退出本期框架协议采购，解除协议。如因此给采购单位造成损失的，应当予以赔偿。 </w:t>
      </w:r>
    </w:p>
    <w:p w14:paraId="577ED532">
      <w:pPr>
        <w:pStyle w:val="2"/>
        <w:spacing w:line="360" w:lineRule="auto"/>
        <w:ind w:firstLine="480" w:firstLineChars="200"/>
        <w:rPr>
          <w:rFonts w:ascii="宋体" w:hAnsi="宋体" w:eastAsia="宋体"/>
          <w:sz w:val="24"/>
        </w:rPr>
      </w:pPr>
      <w:r>
        <w:rPr>
          <w:rFonts w:hint="eastAsia" w:ascii="宋体" w:hAnsi="宋体" w:eastAsia="宋体"/>
          <w:sz w:val="24"/>
        </w:rPr>
        <w:t xml:space="preserve">9.保密条款 </w:t>
      </w:r>
    </w:p>
    <w:p w14:paraId="37C5C105">
      <w:pPr>
        <w:pStyle w:val="2"/>
        <w:spacing w:line="360" w:lineRule="auto"/>
        <w:ind w:firstLine="480" w:firstLineChars="200"/>
        <w:rPr>
          <w:rFonts w:ascii="宋体" w:hAnsi="宋体" w:eastAsia="宋体"/>
          <w:sz w:val="24"/>
        </w:rPr>
      </w:pPr>
      <w:r>
        <w:rPr>
          <w:rFonts w:hint="eastAsia" w:ascii="宋体" w:hAnsi="宋体" w:eastAsia="宋体"/>
          <w:sz w:val="24"/>
        </w:rPr>
        <w:t xml:space="preserve">9.1 任何一方对其获知的本协议涉及的所有有形、无形的信息及资料（包括但不限于甲乙双方的往来书面文字文件、电子邮件及信息、软盘资料等）中另一方的商业秘密或国家秘密负有保密义务。 </w:t>
      </w:r>
    </w:p>
    <w:p w14:paraId="388ABF33">
      <w:pPr>
        <w:pStyle w:val="2"/>
        <w:spacing w:line="360" w:lineRule="auto"/>
        <w:ind w:firstLine="480" w:firstLineChars="200"/>
        <w:rPr>
          <w:rFonts w:ascii="宋体" w:hAnsi="宋体" w:eastAsia="宋体"/>
          <w:sz w:val="24"/>
        </w:rPr>
      </w:pPr>
      <w:r>
        <w:rPr>
          <w:rFonts w:hint="eastAsia" w:ascii="宋体" w:hAnsi="宋体" w:eastAsia="宋体"/>
          <w:sz w:val="24"/>
        </w:rPr>
        <w:t xml:space="preserve">9.2 除非法律、法规、征集文件另有规定或得到本协议之另一方的书面许可，任何一方不得向第三人泄露前款规定的商业秘密或国家秘密。保密期限自任何一方获知该商业秘密或国家秘密之日起至本条规定的秘密成为公众信息之日止。 </w:t>
      </w:r>
    </w:p>
    <w:p w14:paraId="3DD5CDF6">
      <w:pPr>
        <w:pStyle w:val="2"/>
        <w:spacing w:line="360" w:lineRule="auto"/>
        <w:ind w:firstLine="480" w:firstLineChars="200"/>
        <w:rPr>
          <w:rFonts w:ascii="宋体" w:hAnsi="宋体" w:eastAsia="宋体"/>
          <w:sz w:val="24"/>
        </w:rPr>
      </w:pPr>
      <w:r>
        <w:rPr>
          <w:rFonts w:hint="eastAsia" w:ascii="宋体" w:hAnsi="宋体" w:eastAsia="宋体"/>
          <w:sz w:val="24"/>
        </w:rPr>
        <w:t xml:space="preserve">10.通信相关约定 </w:t>
      </w:r>
    </w:p>
    <w:p w14:paraId="4E4B2651">
      <w:pPr>
        <w:pStyle w:val="2"/>
        <w:spacing w:line="360" w:lineRule="auto"/>
        <w:ind w:firstLine="480" w:firstLineChars="200"/>
        <w:rPr>
          <w:rFonts w:ascii="宋体" w:hAnsi="宋体" w:eastAsia="宋体"/>
          <w:sz w:val="24"/>
        </w:rPr>
      </w:pPr>
      <w:r>
        <w:rPr>
          <w:rFonts w:hint="eastAsia" w:ascii="宋体" w:hAnsi="宋体" w:eastAsia="宋体"/>
          <w:sz w:val="24"/>
        </w:rPr>
        <w:t xml:space="preserve">10.1 甲乙双方发出与本协议有关的通知或回复，应以专人送递、传真、电子邮件或快递方式发出。如果以专人送递或快递发送，以送达至对方的住所地或通讯联络地为送达；如果以传真、电子邮件方式发送，发件人在收到传真报告或邮件回执后视为送达。 </w:t>
      </w:r>
    </w:p>
    <w:p w14:paraId="3409C3FF">
      <w:pPr>
        <w:pStyle w:val="2"/>
        <w:spacing w:line="360" w:lineRule="auto"/>
        <w:ind w:firstLine="480" w:firstLineChars="200"/>
        <w:rPr>
          <w:rFonts w:ascii="宋体" w:hAnsi="宋体" w:eastAsia="宋体"/>
          <w:sz w:val="24"/>
        </w:rPr>
      </w:pPr>
      <w:r>
        <w:rPr>
          <w:rFonts w:hint="eastAsia" w:ascii="宋体" w:hAnsi="宋体" w:eastAsia="宋体"/>
          <w:sz w:val="24"/>
        </w:rPr>
        <w:t>10.2 甲乙双方发出的与本协议有关的通知或回复均应发至以下通讯地址及联系人，一方变更通讯地址及联系人，应当自变更之日起 3 个工作日内，将变更后的地址及联系人通知对方。变更方不履行通知义务的，应对此造成的一切后果承担法律责任。</w:t>
      </w:r>
    </w:p>
    <w:p w14:paraId="7A4CF042">
      <w:pPr>
        <w:pStyle w:val="2"/>
        <w:spacing w:line="360" w:lineRule="auto"/>
        <w:ind w:firstLine="480" w:firstLineChars="200"/>
        <w:rPr>
          <w:rFonts w:ascii="宋体" w:hAnsi="宋体" w:eastAsia="宋体"/>
          <w:sz w:val="24"/>
        </w:rPr>
      </w:pPr>
      <w:r>
        <w:rPr>
          <w:rFonts w:hint="eastAsia" w:ascii="宋体" w:hAnsi="宋体" w:eastAsia="宋体"/>
          <w:sz w:val="24"/>
        </w:rPr>
        <w:t xml:space="preserve"> </w:t>
      </w:r>
    </w:p>
    <w:p w14:paraId="74AA026B">
      <w:pPr>
        <w:pStyle w:val="2"/>
        <w:spacing w:line="360" w:lineRule="auto"/>
        <w:ind w:firstLine="480" w:firstLineChars="200"/>
        <w:rPr>
          <w:rFonts w:ascii="宋体" w:hAnsi="宋体" w:eastAsia="宋体"/>
          <w:sz w:val="24"/>
        </w:rPr>
      </w:pPr>
      <w:r>
        <w:rPr>
          <w:rFonts w:hint="eastAsia" w:ascii="宋体" w:hAnsi="宋体" w:eastAsia="宋体"/>
          <w:sz w:val="24"/>
        </w:rPr>
        <w:t xml:space="preserve"> 附件：</w:t>
      </w:r>
      <w:ins w:id="0" w:author="jinziyi" w:date="2026-06-10T15:00:18Z">
        <w:r>
          <w:rPr>
            <w:rFonts w:hint="eastAsia" w:ascii="宋体" w:hAnsi="宋体" w:eastAsia="宋体"/>
            <w:sz w:val="24"/>
          </w:rPr>
          <w:t>订单</w:t>
        </w:r>
      </w:ins>
      <w:r>
        <w:rPr>
          <w:rFonts w:hint="eastAsia" w:ascii="宋体" w:hAnsi="宋体" w:eastAsia="宋体"/>
          <w:sz w:val="24"/>
        </w:rPr>
        <w:t xml:space="preserve"> </w:t>
      </w:r>
    </w:p>
    <w:p w14:paraId="392BB92F">
      <w:pPr>
        <w:pStyle w:val="2"/>
        <w:spacing w:line="360" w:lineRule="auto"/>
        <w:ind w:firstLine="480" w:firstLineChars="200"/>
        <w:rPr>
          <w:rFonts w:ascii="宋体" w:hAnsi="宋体" w:eastAsia="宋体"/>
          <w:sz w:val="24"/>
        </w:rPr>
      </w:pPr>
      <w:r>
        <w:rPr>
          <w:rFonts w:hint="eastAsia" w:ascii="宋体" w:hAnsi="宋体" w:eastAsia="宋体"/>
          <w:sz w:val="24"/>
        </w:rPr>
        <w:t xml:space="preserve"> </w:t>
      </w:r>
    </w:p>
    <w:p w14:paraId="5D6C12B8">
      <w:pPr>
        <w:pStyle w:val="4"/>
        <w:keepLines w:val="0"/>
        <w:spacing w:before="0" w:after="0" w:line="360" w:lineRule="auto"/>
        <w:ind w:firstLine="482" w:firstLineChars="200"/>
        <w:jc w:val="left"/>
        <w:rPr>
          <w:rFonts w:ascii="宋体" w:hAnsi="宋体" w:eastAsia="宋体"/>
          <w:sz w:val="24"/>
          <w:szCs w:val="24"/>
        </w:rPr>
      </w:pPr>
      <w:r>
        <w:rPr>
          <w:rFonts w:hint="eastAsia" w:ascii="宋体" w:hAnsi="宋体" w:eastAsia="宋体"/>
          <w:sz w:val="24"/>
          <w:szCs w:val="24"/>
        </w:rPr>
        <w:t xml:space="preserve"> </w:t>
      </w:r>
    </w:p>
    <w:p w14:paraId="16170419">
      <w:pPr>
        <w:pStyle w:val="2"/>
        <w:spacing w:line="360" w:lineRule="auto"/>
        <w:ind w:firstLine="480" w:firstLineChars="200"/>
        <w:rPr>
          <w:rFonts w:ascii="宋体" w:hAnsi="宋体" w:eastAsia="宋体"/>
          <w:sz w:val="24"/>
        </w:rPr>
      </w:pPr>
      <w:r>
        <w:rPr>
          <w:rFonts w:hint="eastAsia" w:ascii="宋体" w:hAnsi="宋体" w:eastAsia="宋体"/>
          <w:sz w:val="24"/>
        </w:rPr>
        <w:t xml:space="preserve">甲方：宁波通商银行股份有限公司    </w:t>
      </w:r>
      <w:r>
        <w:rPr>
          <w:rFonts w:hint="eastAsia" w:ascii="宋体" w:hAnsi="宋体" w:eastAsia="宋体"/>
          <w:sz w:val="24"/>
          <w:lang w:val="en-US" w:eastAsia="zh-CN"/>
        </w:rPr>
        <w:t xml:space="preserve">    </w:t>
      </w:r>
      <w:r>
        <w:rPr>
          <w:rFonts w:hint="eastAsia" w:ascii="宋体" w:hAnsi="宋体" w:eastAsia="宋体"/>
          <w:sz w:val="24"/>
        </w:rPr>
        <w:t>乙方：</w:t>
      </w:r>
    </w:p>
    <w:p w14:paraId="0C04F21A">
      <w:pPr>
        <w:pStyle w:val="2"/>
        <w:spacing w:line="360" w:lineRule="auto"/>
        <w:ind w:firstLine="480" w:firstLineChars="200"/>
        <w:rPr>
          <w:rFonts w:ascii="宋体" w:hAnsi="宋体" w:eastAsia="宋体"/>
          <w:sz w:val="24"/>
        </w:rPr>
      </w:pPr>
      <w:r>
        <w:rPr>
          <w:rFonts w:hint="eastAsia" w:ascii="宋体" w:hAnsi="宋体" w:eastAsia="宋体"/>
          <w:sz w:val="24"/>
        </w:rPr>
        <w:t xml:space="preserve"> </w:t>
      </w:r>
    </w:p>
    <w:p w14:paraId="34C879B5">
      <w:pPr>
        <w:pStyle w:val="2"/>
        <w:spacing w:line="360" w:lineRule="auto"/>
        <w:ind w:firstLine="480" w:firstLineChars="200"/>
        <w:rPr>
          <w:rFonts w:ascii="宋体" w:hAnsi="宋体" w:eastAsia="宋体"/>
          <w:sz w:val="24"/>
        </w:rPr>
      </w:pPr>
      <w:r>
        <w:rPr>
          <w:rFonts w:hint="eastAsia" w:ascii="宋体" w:hAnsi="宋体" w:eastAsia="宋体"/>
          <w:sz w:val="24"/>
        </w:rPr>
        <w:t xml:space="preserve"> </w:t>
      </w:r>
    </w:p>
    <w:p w14:paraId="09F1D951">
      <w:pPr>
        <w:pStyle w:val="2"/>
        <w:spacing w:line="360" w:lineRule="auto"/>
        <w:ind w:firstLine="480" w:firstLineChars="200"/>
        <w:rPr>
          <w:rFonts w:ascii="宋体" w:hAnsi="宋体" w:eastAsia="宋体"/>
          <w:sz w:val="24"/>
        </w:rPr>
      </w:pPr>
      <w:r>
        <w:rPr>
          <w:rFonts w:hint="eastAsia" w:ascii="宋体" w:hAnsi="宋体" w:eastAsia="宋体"/>
          <w:sz w:val="24"/>
        </w:rPr>
        <w:t xml:space="preserve">法定代表人（签字或盖章）：         </w:t>
      </w:r>
      <w:r>
        <w:rPr>
          <w:rFonts w:hint="eastAsia" w:ascii="宋体" w:hAnsi="宋体" w:eastAsia="宋体"/>
          <w:sz w:val="24"/>
          <w:lang w:val="en-US" w:eastAsia="zh-CN"/>
        </w:rPr>
        <w:t xml:space="preserve">  </w:t>
      </w:r>
      <w:r>
        <w:rPr>
          <w:rFonts w:hint="eastAsia" w:ascii="宋体" w:hAnsi="宋体" w:eastAsia="宋体"/>
          <w:sz w:val="24"/>
        </w:rPr>
        <w:t xml:space="preserve"> 法定代表人（签字或盖章）：</w:t>
      </w:r>
    </w:p>
    <w:p w14:paraId="1E2AB39F">
      <w:pPr>
        <w:pStyle w:val="2"/>
        <w:spacing w:line="360" w:lineRule="auto"/>
        <w:ind w:firstLine="480" w:firstLineChars="200"/>
        <w:rPr>
          <w:rFonts w:ascii="宋体" w:hAnsi="宋体" w:eastAsia="宋体"/>
          <w:sz w:val="24"/>
        </w:rPr>
      </w:pPr>
      <w:r>
        <w:rPr>
          <w:rFonts w:hint="eastAsia" w:ascii="宋体" w:hAnsi="宋体" w:eastAsia="宋体"/>
          <w:sz w:val="24"/>
        </w:rPr>
        <w:t xml:space="preserve"> </w:t>
      </w:r>
    </w:p>
    <w:p w14:paraId="6739A144">
      <w:pPr>
        <w:pStyle w:val="2"/>
        <w:spacing w:line="360" w:lineRule="auto"/>
        <w:ind w:firstLine="480" w:firstLineChars="200"/>
        <w:rPr>
          <w:rFonts w:ascii="宋体" w:hAnsi="宋体" w:eastAsia="宋体"/>
          <w:sz w:val="24"/>
        </w:rPr>
      </w:pPr>
      <w:r>
        <w:rPr>
          <w:rFonts w:hint="eastAsia" w:ascii="宋体" w:hAnsi="宋体" w:eastAsia="宋体"/>
          <w:sz w:val="24"/>
        </w:rPr>
        <w:t xml:space="preserve"> </w:t>
      </w:r>
    </w:p>
    <w:p w14:paraId="28ECAAFC">
      <w:pPr>
        <w:pStyle w:val="2"/>
        <w:spacing w:line="360" w:lineRule="auto"/>
        <w:ind w:firstLine="480" w:firstLineChars="200"/>
        <w:rPr>
          <w:rFonts w:ascii="宋体" w:hAnsi="宋体" w:eastAsia="宋体"/>
          <w:sz w:val="24"/>
        </w:rPr>
      </w:pPr>
      <w:r>
        <w:rPr>
          <w:rFonts w:hint="eastAsia" w:ascii="宋体" w:hAnsi="宋体" w:eastAsia="宋体"/>
          <w:sz w:val="24"/>
        </w:rPr>
        <w:t xml:space="preserve">地址：宁波市鄞州区民安东路337号  </w:t>
      </w:r>
      <w:r>
        <w:rPr>
          <w:rFonts w:hint="eastAsia" w:ascii="宋体" w:hAnsi="宋体" w:eastAsia="宋体"/>
          <w:sz w:val="24"/>
          <w:lang w:val="en-US" w:eastAsia="zh-CN"/>
        </w:rPr>
        <w:t xml:space="preserve">   </w:t>
      </w:r>
      <w:r>
        <w:rPr>
          <w:rFonts w:hint="eastAsia" w:ascii="宋体" w:hAnsi="宋体" w:eastAsia="宋体"/>
          <w:sz w:val="24"/>
        </w:rPr>
        <w:t xml:space="preserve"> 地址：</w:t>
      </w:r>
    </w:p>
    <w:p w14:paraId="1A685400">
      <w:pPr>
        <w:pStyle w:val="2"/>
        <w:spacing w:line="360" w:lineRule="auto"/>
        <w:ind w:firstLine="480" w:firstLineChars="200"/>
        <w:rPr>
          <w:rFonts w:ascii="宋体" w:hAnsi="宋体" w:eastAsia="宋体"/>
          <w:sz w:val="24"/>
        </w:rPr>
      </w:pPr>
      <w:r>
        <w:rPr>
          <w:rFonts w:hint="eastAsia" w:ascii="宋体" w:hAnsi="宋体" w:eastAsia="宋体"/>
          <w:sz w:val="24"/>
        </w:rPr>
        <w:t xml:space="preserve"> </w:t>
      </w:r>
    </w:p>
    <w:p w14:paraId="2F6B3E4C">
      <w:pPr>
        <w:pStyle w:val="2"/>
        <w:spacing w:line="360" w:lineRule="auto"/>
        <w:ind w:firstLine="480" w:firstLineChars="200"/>
        <w:rPr>
          <w:rFonts w:ascii="宋体" w:hAnsi="宋体" w:eastAsia="宋体"/>
          <w:sz w:val="24"/>
        </w:rPr>
      </w:pPr>
      <w:r>
        <w:rPr>
          <w:rFonts w:hint="eastAsia" w:ascii="宋体" w:hAnsi="宋体" w:eastAsia="宋体"/>
          <w:sz w:val="24"/>
        </w:rPr>
        <w:t xml:space="preserve">经办人：                        </w:t>
      </w:r>
      <w:r>
        <w:rPr>
          <w:rFonts w:hint="eastAsia" w:ascii="宋体" w:hAnsi="宋体" w:eastAsia="宋体"/>
          <w:sz w:val="24"/>
          <w:lang w:val="en-US" w:eastAsia="zh-CN"/>
        </w:rPr>
        <w:t xml:space="preserve">   </w:t>
      </w:r>
      <w:r>
        <w:rPr>
          <w:rFonts w:hint="eastAsia" w:ascii="宋体" w:hAnsi="宋体" w:eastAsia="宋体"/>
          <w:sz w:val="24"/>
        </w:rPr>
        <w:t xml:space="preserve">   经办人：</w:t>
      </w:r>
    </w:p>
    <w:p w14:paraId="4041A939">
      <w:pPr>
        <w:pStyle w:val="2"/>
        <w:spacing w:line="360" w:lineRule="auto"/>
        <w:ind w:firstLine="480" w:firstLineChars="200"/>
        <w:rPr>
          <w:rFonts w:ascii="宋体" w:hAnsi="宋体" w:eastAsia="宋体"/>
          <w:sz w:val="24"/>
        </w:rPr>
      </w:pPr>
      <w:r>
        <w:rPr>
          <w:rFonts w:hint="eastAsia" w:ascii="宋体" w:hAnsi="宋体" w:eastAsia="宋体"/>
          <w:sz w:val="24"/>
        </w:rPr>
        <w:t xml:space="preserve"> </w:t>
      </w:r>
    </w:p>
    <w:p w14:paraId="3205D1B7">
      <w:pPr>
        <w:pStyle w:val="2"/>
        <w:spacing w:line="360" w:lineRule="auto"/>
        <w:ind w:firstLine="480" w:firstLineChars="200"/>
        <w:rPr>
          <w:rFonts w:ascii="宋体" w:hAnsi="宋体" w:eastAsia="宋体"/>
          <w:sz w:val="24"/>
        </w:rPr>
      </w:pPr>
      <w:r>
        <w:rPr>
          <w:rFonts w:hint="eastAsia" w:ascii="宋体" w:hAnsi="宋体" w:eastAsia="宋体"/>
          <w:sz w:val="24"/>
        </w:rPr>
        <w:t xml:space="preserve">联系电话：                    </w:t>
      </w:r>
      <w:r>
        <w:rPr>
          <w:rFonts w:hint="eastAsia" w:ascii="宋体" w:hAnsi="宋体" w:eastAsia="宋体"/>
          <w:sz w:val="24"/>
          <w:lang w:val="en-US" w:eastAsia="zh-CN"/>
        </w:rPr>
        <w:t xml:space="preserve">   </w:t>
      </w:r>
      <w:r>
        <w:rPr>
          <w:rFonts w:hint="eastAsia" w:ascii="宋体" w:hAnsi="宋体" w:eastAsia="宋体"/>
          <w:sz w:val="24"/>
        </w:rPr>
        <w:t xml:space="preserve">     联系电话：  </w:t>
      </w:r>
    </w:p>
    <w:p w14:paraId="244B2370">
      <w:pPr>
        <w:pStyle w:val="2"/>
        <w:spacing w:line="360" w:lineRule="auto"/>
        <w:ind w:firstLine="480" w:firstLineChars="200"/>
        <w:rPr>
          <w:rFonts w:ascii="宋体" w:hAnsi="宋体" w:eastAsia="宋体"/>
          <w:sz w:val="24"/>
        </w:rPr>
      </w:pPr>
      <w:r>
        <w:rPr>
          <w:rFonts w:hint="eastAsia" w:ascii="宋体" w:hAnsi="宋体" w:eastAsia="宋体"/>
          <w:sz w:val="24"/>
        </w:rPr>
        <w:t xml:space="preserve"> </w:t>
      </w:r>
    </w:p>
    <w:p w14:paraId="719B3DE0">
      <w:pPr>
        <w:pStyle w:val="2"/>
        <w:spacing w:line="360" w:lineRule="auto"/>
        <w:ind w:firstLine="480" w:firstLineChars="200"/>
        <w:rPr>
          <w:rFonts w:ascii="宋体" w:hAnsi="宋体" w:eastAsia="宋体"/>
          <w:sz w:val="24"/>
        </w:rPr>
      </w:pPr>
      <w:r>
        <w:rPr>
          <w:rFonts w:hint="eastAsia" w:ascii="宋体" w:hAnsi="宋体" w:eastAsia="宋体"/>
          <w:sz w:val="24"/>
        </w:rPr>
        <w:t xml:space="preserve">订日期： 年 月 日          </w:t>
      </w:r>
      <w:r>
        <w:rPr>
          <w:rFonts w:hint="eastAsia" w:ascii="宋体" w:hAnsi="宋体" w:eastAsia="宋体"/>
          <w:sz w:val="24"/>
          <w:lang w:val="en-US" w:eastAsia="zh-CN"/>
        </w:rPr>
        <w:t xml:space="preserve">   </w:t>
      </w:r>
      <w:r>
        <w:rPr>
          <w:rFonts w:hint="eastAsia" w:ascii="宋体" w:hAnsi="宋体" w:eastAsia="宋体"/>
          <w:sz w:val="24"/>
        </w:rPr>
        <w:t xml:space="preserve">        签订日期： 年 月 日</w:t>
      </w:r>
    </w:p>
    <w:p w14:paraId="6BA1B16F">
      <w:pPr>
        <w:pStyle w:val="4"/>
        <w:keepLines w:val="0"/>
        <w:spacing w:before="0" w:after="0" w:line="360" w:lineRule="auto"/>
        <w:jc w:val="left"/>
        <w:rPr>
          <w:rFonts w:ascii="宋体" w:hAnsi="宋体" w:eastAsia="宋体"/>
          <w:sz w:val="24"/>
          <w:szCs w:val="24"/>
        </w:rPr>
      </w:pPr>
      <w:r>
        <w:rPr>
          <w:rFonts w:hint="eastAsia" w:ascii="宋体" w:hAnsi="宋体" w:eastAsia="宋体"/>
          <w:sz w:val="24"/>
          <w:szCs w:val="24"/>
        </w:rPr>
        <w:t xml:space="preserve"> </w:t>
      </w:r>
    </w:p>
    <w:p w14:paraId="3520E14B">
      <w:pPr>
        <w:widowControl/>
        <w:spacing w:line="360" w:lineRule="auto"/>
        <w:ind w:firstLine="480" w:firstLineChars="200"/>
        <w:jc w:val="left"/>
        <w:rPr>
          <w:rFonts w:ascii="宋体" w:hAnsi="宋体" w:eastAsia="宋体"/>
          <w:sz w:val="24"/>
          <w:szCs w:val="24"/>
        </w:rPr>
      </w:pPr>
      <w:r>
        <w:rPr>
          <w:rFonts w:hint="eastAsia" w:ascii="宋体" w:hAnsi="宋体" w:eastAsia="宋体"/>
          <w:sz w:val="24"/>
          <w:szCs w:val="24"/>
        </w:rPr>
        <w:br w:type="page"/>
      </w:r>
    </w:p>
    <w:p w14:paraId="496FB85D">
      <w:pPr>
        <w:pStyle w:val="2"/>
        <w:spacing w:line="360" w:lineRule="auto"/>
        <w:jc w:val="center"/>
        <w:rPr>
          <w:rFonts w:hint="eastAsia" w:ascii="宋体" w:hAnsi="宋体" w:eastAsia="宋体"/>
          <w:b/>
          <w:sz w:val="24"/>
          <w:lang w:eastAsia="zh-CN"/>
        </w:rPr>
      </w:pPr>
      <w:r>
        <w:rPr>
          <w:rFonts w:hint="eastAsia" w:ascii="宋体" w:hAnsi="宋体" w:eastAsia="宋体"/>
          <w:b/>
          <w:sz w:val="24"/>
        </w:rPr>
        <w:t>宁波通商银行金融IC借记卡制卡及个人化服务采购</w:t>
      </w:r>
      <w:r>
        <w:rPr>
          <w:rFonts w:hint="eastAsia" w:ascii="宋体" w:hAnsi="宋体" w:eastAsia="宋体"/>
          <w:b/>
          <w:sz w:val="24"/>
          <w:lang w:val="en-US" w:eastAsia="zh-CN"/>
        </w:rPr>
        <w:t>订单</w:t>
      </w:r>
    </w:p>
    <w:p w14:paraId="64ED7BF4">
      <w:pPr>
        <w:pStyle w:val="2"/>
        <w:spacing w:line="360" w:lineRule="auto"/>
        <w:jc w:val="center"/>
        <w:rPr>
          <w:ins w:id="1" w:author="jinziyi" w:date="2026-06-10T15:00:45Z"/>
          <w:rFonts w:hint="eastAsia" w:ascii="宋体" w:hAnsi="宋体" w:eastAsia="宋体"/>
          <w:b/>
          <w:sz w:val="24"/>
        </w:rPr>
      </w:pPr>
    </w:p>
    <w:p w14:paraId="29D3B392">
      <w:pPr>
        <w:pStyle w:val="2"/>
        <w:spacing w:line="360" w:lineRule="auto"/>
        <w:ind w:firstLine="480" w:firstLineChars="200"/>
        <w:rPr>
          <w:rFonts w:hint="default" w:ascii="宋体" w:hAnsi="宋体" w:eastAsia="宋体"/>
          <w:sz w:val="24"/>
          <w:lang w:val="en-US"/>
        </w:rPr>
      </w:pPr>
      <w:r>
        <w:rPr>
          <w:rFonts w:hint="eastAsia" w:ascii="宋体" w:hAnsi="宋体" w:eastAsia="宋体"/>
          <w:sz w:val="24"/>
        </w:rPr>
        <w:t>甲方每次采购金融IC借记卡制卡及个人化服务时，应向乙方下达订单。订单应</w:t>
      </w:r>
      <w:r>
        <w:rPr>
          <w:rFonts w:hint="eastAsia" w:ascii="宋体" w:hAnsi="宋体" w:eastAsia="宋体"/>
          <w:sz w:val="24"/>
          <w:lang w:val="en-US" w:eastAsia="zh-CN"/>
        </w:rPr>
        <w:t>包括卡片名称、数量、收货地点、收货联系人</w:t>
      </w:r>
      <w:r>
        <w:rPr>
          <w:rFonts w:hint="eastAsia" w:ascii="宋体" w:hAnsi="宋体" w:eastAsia="宋体"/>
          <w:sz w:val="24"/>
        </w:rPr>
        <w:t>等具体信息。订单经甲方</w:t>
      </w:r>
      <w:r>
        <w:rPr>
          <w:rFonts w:hint="eastAsia" w:ascii="宋体" w:hAnsi="宋体" w:eastAsia="宋体"/>
          <w:sz w:val="24"/>
          <w:lang w:val="en-US" w:eastAsia="zh-CN"/>
        </w:rPr>
        <w:t>专人签章后通过电子邮件形式传送至乙方，乙方应以甲方下达的订单为准生产卡片。</w:t>
      </w:r>
    </w:p>
    <w:p w14:paraId="3D70F2D7">
      <w:pPr>
        <w:pStyle w:val="2"/>
        <w:spacing w:line="360" w:lineRule="auto"/>
        <w:rPr>
          <w:rFonts w:hint="eastAsia" w:ascii="宋体" w:hAnsi="宋体" w:eastAsia="宋体"/>
          <w:sz w:val="24"/>
        </w:rPr>
      </w:pPr>
      <w:r>
        <w:rPr>
          <w:rFonts w:hint="eastAsia" w:ascii="宋体" w:hAnsi="宋体" w:eastAsia="宋体"/>
          <w:sz w:val="24"/>
        </w:rPr>
        <w:object>
          <v:shape id="_x0000_i1025" o:spt="75" alt="" type="#_x0000_t75" style="height:473.45pt;width:361.1pt;" o:ole="t" filled="f" o:preferrelative="t" stroked="f" coordsize="21600,21600">
            <v:path/>
            <v:fill on="f" focussize="0,0"/>
            <v:stroke on="f"/>
            <v:imagedata r:id="rId8" o:title=""/>
            <o:lock v:ext="edit" aspectratio="f"/>
            <w10:wrap type="none"/>
            <w10:anchorlock/>
          </v:shape>
          <o:OLEObject Type="Embed" ProgID="Excel.Sheet.12" ShapeID="_x0000_i1025" DrawAspect="Content" ObjectID="_1468075725" r:id="rId7">
            <o:LockedField>false</o:LockedField>
          </o:OLEObject>
        </w:object>
      </w:r>
    </w:p>
    <w:p w14:paraId="2541C516">
      <w:pPr>
        <w:pStyle w:val="2"/>
        <w:spacing w:after="0" w:line="360" w:lineRule="auto"/>
        <w:ind w:firstLine="480" w:firstLineChars="200"/>
        <w:rPr>
          <w:rFonts w:hint="eastAsia" w:ascii="宋体" w:hAnsi="宋体" w:eastAsia="宋体"/>
          <w:sz w:val="24"/>
        </w:rPr>
      </w:pPr>
      <w:r>
        <w:rPr>
          <w:rFonts w:hint="eastAsia" w:ascii="宋体" w:hAnsi="宋体" w:eastAsia="宋体"/>
          <w:sz w:val="24"/>
        </w:rPr>
        <w:t>备注：1.以上价格均为含税价，税率为该商品对应的国家规定的现行税率；2.以上价格包括但不限于乙方因开发本项目所发生的差旅费、办公费等所有相关费用，甲方无需另外支付费用。</w:t>
      </w:r>
    </w:p>
    <w:p w14:paraId="6B57B5C0">
      <w:pPr>
        <w:spacing w:after="0"/>
        <w:ind w:firstLineChars="200"/>
        <w:rPr>
          <w:rFonts w:hint="eastAsia" w:ascii="宋体" w:hAnsi="宋体" w:eastAsia="宋体"/>
          <w:sz w:val="24"/>
        </w:rPr>
      </w:pPr>
      <w:r>
        <w:rPr>
          <w:rFonts w:hint="eastAsia" w:ascii="宋体" w:hAnsi="宋体" w:eastAsia="宋体"/>
          <w:sz w:val="24"/>
        </w:rPr>
        <w:br w:type="page"/>
      </w:r>
    </w:p>
    <w:p w14:paraId="504D2E19">
      <w:pPr>
        <w:spacing w:line="360" w:lineRule="auto"/>
        <w:jc w:val="center"/>
        <w:outlineLvl w:val="0"/>
        <w:rPr>
          <w:rFonts w:asciiTheme="minorEastAsia" w:hAnsiTheme="minorEastAsia" w:eastAsiaTheme="minorEastAsia"/>
          <w:b/>
          <w:sz w:val="28"/>
        </w:rPr>
      </w:pPr>
      <w:bookmarkStart w:id="49" w:name="_Toc22492"/>
      <w:r>
        <w:rPr>
          <w:rFonts w:hint="eastAsia" w:asciiTheme="minorEastAsia" w:hAnsiTheme="minorEastAsia" w:eastAsiaTheme="minorEastAsia"/>
          <w:b/>
          <w:sz w:val="28"/>
        </w:rPr>
        <w:t>第六章  投标文件格式</w:t>
      </w:r>
      <w:bookmarkEnd w:id="49"/>
    </w:p>
    <w:p w14:paraId="3BEE622E">
      <w:pPr>
        <w:spacing w:line="900" w:lineRule="exact"/>
        <w:jc w:val="center"/>
        <w:rPr>
          <w:rFonts w:asciiTheme="minorEastAsia" w:hAnsiTheme="minorEastAsia" w:eastAsiaTheme="minorEastAsia"/>
          <w:b/>
          <w:sz w:val="72"/>
        </w:rPr>
      </w:pPr>
    </w:p>
    <w:p w14:paraId="4339442B">
      <w:pPr>
        <w:spacing w:line="900" w:lineRule="exact"/>
        <w:jc w:val="center"/>
        <w:outlineLvl w:val="1"/>
        <w:rPr>
          <w:rFonts w:asciiTheme="minorEastAsia" w:hAnsiTheme="minorEastAsia" w:eastAsiaTheme="minorEastAsia"/>
          <w:b/>
          <w:sz w:val="72"/>
        </w:rPr>
      </w:pPr>
      <w:bookmarkStart w:id="50" w:name="_Toc651"/>
      <w:r>
        <w:rPr>
          <w:rFonts w:hint="eastAsia" w:asciiTheme="minorEastAsia" w:hAnsiTheme="minorEastAsia" w:eastAsiaTheme="minorEastAsia"/>
          <w:b/>
          <w:sz w:val="72"/>
        </w:rPr>
        <w:t>投</w:t>
      </w:r>
      <w:bookmarkEnd w:id="50"/>
    </w:p>
    <w:p w14:paraId="06F90E13">
      <w:pPr>
        <w:spacing w:line="900" w:lineRule="exact"/>
        <w:jc w:val="center"/>
        <w:rPr>
          <w:rFonts w:asciiTheme="minorEastAsia" w:hAnsiTheme="minorEastAsia" w:eastAsiaTheme="minorEastAsia"/>
          <w:b/>
          <w:sz w:val="72"/>
        </w:rPr>
      </w:pPr>
    </w:p>
    <w:p w14:paraId="1B9DAA53">
      <w:pPr>
        <w:spacing w:line="900" w:lineRule="exact"/>
        <w:jc w:val="center"/>
        <w:outlineLvl w:val="1"/>
        <w:rPr>
          <w:rFonts w:asciiTheme="minorEastAsia" w:hAnsiTheme="minorEastAsia" w:eastAsiaTheme="minorEastAsia"/>
          <w:b/>
          <w:sz w:val="72"/>
        </w:rPr>
      </w:pPr>
      <w:bookmarkStart w:id="51" w:name="_Toc6148"/>
      <w:r>
        <w:rPr>
          <w:rFonts w:hint="eastAsia" w:asciiTheme="minorEastAsia" w:hAnsiTheme="minorEastAsia" w:eastAsiaTheme="minorEastAsia"/>
          <w:b/>
          <w:sz w:val="72"/>
        </w:rPr>
        <w:t>标</w:t>
      </w:r>
      <w:bookmarkEnd w:id="51"/>
    </w:p>
    <w:p w14:paraId="0A9BE735">
      <w:pPr>
        <w:spacing w:line="900" w:lineRule="exact"/>
        <w:jc w:val="center"/>
        <w:rPr>
          <w:rFonts w:asciiTheme="minorEastAsia" w:hAnsiTheme="minorEastAsia" w:eastAsiaTheme="minorEastAsia"/>
          <w:b/>
          <w:sz w:val="72"/>
        </w:rPr>
      </w:pPr>
    </w:p>
    <w:p w14:paraId="1A018072">
      <w:pPr>
        <w:spacing w:line="900" w:lineRule="exact"/>
        <w:jc w:val="center"/>
        <w:outlineLvl w:val="1"/>
        <w:rPr>
          <w:rFonts w:asciiTheme="minorEastAsia" w:hAnsiTheme="minorEastAsia" w:eastAsiaTheme="minorEastAsia"/>
          <w:b/>
          <w:sz w:val="72"/>
        </w:rPr>
      </w:pPr>
      <w:bookmarkStart w:id="52" w:name="_Toc1338"/>
      <w:r>
        <w:rPr>
          <w:rFonts w:hint="eastAsia" w:asciiTheme="minorEastAsia" w:hAnsiTheme="minorEastAsia" w:eastAsiaTheme="minorEastAsia"/>
          <w:b/>
          <w:sz w:val="72"/>
        </w:rPr>
        <w:t>文</w:t>
      </w:r>
      <w:bookmarkEnd w:id="52"/>
    </w:p>
    <w:p w14:paraId="46A964FD">
      <w:pPr>
        <w:spacing w:line="900" w:lineRule="exact"/>
        <w:jc w:val="center"/>
        <w:rPr>
          <w:rFonts w:asciiTheme="minorEastAsia" w:hAnsiTheme="minorEastAsia" w:eastAsiaTheme="minorEastAsia"/>
          <w:b/>
          <w:sz w:val="72"/>
        </w:rPr>
      </w:pPr>
    </w:p>
    <w:p w14:paraId="6B941400">
      <w:pPr>
        <w:jc w:val="center"/>
        <w:outlineLvl w:val="1"/>
        <w:rPr>
          <w:rFonts w:asciiTheme="minorEastAsia" w:hAnsiTheme="minorEastAsia" w:eastAsiaTheme="minorEastAsia"/>
          <w:b/>
          <w:sz w:val="72"/>
        </w:rPr>
      </w:pPr>
      <w:bookmarkStart w:id="53" w:name="_Toc10796"/>
      <w:r>
        <w:rPr>
          <w:rFonts w:hint="eastAsia" w:asciiTheme="minorEastAsia" w:hAnsiTheme="minorEastAsia" w:eastAsiaTheme="minorEastAsia"/>
          <w:b/>
          <w:sz w:val="72"/>
        </w:rPr>
        <w:t>件</w:t>
      </w:r>
      <w:bookmarkEnd w:id="53"/>
    </w:p>
    <w:p w14:paraId="2AD038E4">
      <w:pPr>
        <w:spacing w:after="156" w:afterLines="50"/>
        <w:jc w:val="center"/>
        <w:rPr>
          <w:rFonts w:asciiTheme="minorEastAsia" w:hAnsiTheme="minorEastAsia" w:eastAsiaTheme="minorEastAsia"/>
          <w:b/>
          <w:sz w:val="72"/>
        </w:rPr>
      </w:pPr>
    </w:p>
    <w:p w14:paraId="11234418">
      <w:pPr>
        <w:spacing w:before="156" w:beforeLines="50" w:after="156" w:afterLines="50"/>
        <w:jc w:val="center"/>
        <w:rPr>
          <w:rFonts w:asciiTheme="minorEastAsia" w:hAnsiTheme="minorEastAsia" w:eastAsiaTheme="minorEastAsia"/>
          <w:b/>
          <w:sz w:val="32"/>
          <w:szCs w:val="32"/>
        </w:rPr>
      </w:pPr>
    </w:p>
    <w:p w14:paraId="10F80837">
      <w:pPr>
        <w:spacing w:after="156" w:afterLines="50" w:line="500" w:lineRule="exact"/>
        <w:jc w:val="center"/>
        <w:rPr>
          <w:rFonts w:asciiTheme="minorEastAsia" w:hAnsiTheme="minorEastAsia" w:eastAsiaTheme="minorEastAsia"/>
          <w:b/>
          <w:sz w:val="28"/>
          <w:szCs w:val="28"/>
        </w:rPr>
      </w:pPr>
    </w:p>
    <w:p w14:paraId="165FE200">
      <w:pPr>
        <w:tabs>
          <w:tab w:val="left" w:pos="2410"/>
        </w:tabs>
        <w:autoSpaceDE w:val="0"/>
        <w:autoSpaceDN w:val="0"/>
        <w:adjustRightInd w:val="0"/>
        <w:snapToGrid w:val="0"/>
        <w:spacing w:line="360" w:lineRule="auto"/>
        <w:ind w:firstLine="643" w:firstLineChars="200"/>
        <w:rPr>
          <w:rFonts w:ascii="宋体" w:hAnsi="宋体" w:eastAsia="宋体"/>
          <w:b/>
          <w:spacing w:val="20"/>
          <w:kern w:val="0"/>
          <w:sz w:val="32"/>
          <w:szCs w:val="32"/>
        </w:rPr>
      </w:pPr>
      <w:r>
        <w:rPr>
          <w:rFonts w:hint="eastAsia" w:asciiTheme="minorEastAsia" w:hAnsiTheme="minorEastAsia" w:eastAsiaTheme="minorEastAsia"/>
          <w:b/>
          <w:sz w:val="32"/>
        </w:rPr>
        <w:t>项目名称：</w:t>
      </w:r>
      <w:r>
        <w:rPr>
          <w:rFonts w:hint="eastAsia" w:asciiTheme="minorEastAsia" w:hAnsiTheme="minorEastAsia" w:eastAsiaTheme="minorEastAsia"/>
          <w:b/>
          <w:sz w:val="32"/>
          <w:u w:val="single"/>
        </w:rPr>
        <w:t xml:space="preserve">                  </w:t>
      </w:r>
    </w:p>
    <w:p w14:paraId="776DE06E">
      <w:pPr>
        <w:tabs>
          <w:tab w:val="left" w:pos="2410"/>
        </w:tabs>
        <w:autoSpaceDE w:val="0"/>
        <w:autoSpaceDN w:val="0"/>
        <w:adjustRightInd w:val="0"/>
        <w:snapToGrid w:val="0"/>
        <w:spacing w:line="360" w:lineRule="auto"/>
        <w:ind w:firstLine="643" w:firstLineChars="200"/>
        <w:rPr>
          <w:rFonts w:asciiTheme="minorEastAsia" w:hAnsiTheme="minorEastAsia" w:eastAsiaTheme="minorEastAsia"/>
          <w:b/>
          <w:sz w:val="32"/>
          <w:u w:val="single"/>
        </w:rPr>
      </w:pPr>
      <w:r>
        <w:rPr>
          <w:rFonts w:hint="eastAsia" w:asciiTheme="minorEastAsia" w:hAnsiTheme="minorEastAsia" w:eastAsiaTheme="minorEastAsia"/>
          <w:b/>
          <w:sz w:val="32"/>
        </w:rPr>
        <w:t>项目编号：</w:t>
      </w:r>
      <w:r>
        <w:rPr>
          <w:rFonts w:hint="eastAsia" w:asciiTheme="minorEastAsia" w:hAnsiTheme="minorEastAsia" w:eastAsiaTheme="minorEastAsia"/>
          <w:b/>
          <w:sz w:val="32"/>
          <w:u w:val="single"/>
        </w:rPr>
        <w:t xml:space="preserve">                  </w:t>
      </w:r>
    </w:p>
    <w:p w14:paraId="4D47D246">
      <w:pPr>
        <w:tabs>
          <w:tab w:val="left" w:pos="2410"/>
        </w:tabs>
        <w:autoSpaceDE w:val="0"/>
        <w:autoSpaceDN w:val="0"/>
        <w:adjustRightInd w:val="0"/>
        <w:snapToGrid w:val="0"/>
        <w:spacing w:line="360" w:lineRule="auto"/>
        <w:ind w:firstLine="643" w:firstLineChars="200"/>
        <w:rPr>
          <w:rFonts w:asciiTheme="minorEastAsia" w:hAnsiTheme="minorEastAsia" w:eastAsiaTheme="minorEastAsia"/>
          <w:b/>
          <w:sz w:val="32"/>
          <w:u w:val="single"/>
        </w:rPr>
      </w:pPr>
      <w:r>
        <w:rPr>
          <w:rFonts w:hint="eastAsia" w:asciiTheme="minorEastAsia" w:hAnsiTheme="minorEastAsia" w:eastAsiaTheme="minorEastAsia"/>
          <w:b/>
          <w:sz w:val="32"/>
        </w:rPr>
        <w:t>投 标 人：</w:t>
      </w:r>
      <w:r>
        <w:rPr>
          <w:rFonts w:hint="eastAsia" w:asciiTheme="minorEastAsia" w:hAnsiTheme="minorEastAsia" w:eastAsiaTheme="minorEastAsia"/>
          <w:b/>
          <w:sz w:val="32"/>
          <w:u w:val="single"/>
        </w:rPr>
        <w:t xml:space="preserve">                  </w:t>
      </w:r>
    </w:p>
    <w:p w14:paraId="575A9A13">
      <w:pPr>
        <w:spacing w:after="156" w:afterLines="50" w:line="500" w:lineRule="exact"/>
        <w:jc w:val="center"/>
        <w:outlineLvl w:val="1"/>
        <w:rPr>
          <w:rFonts w:asciiTheme="minorEastAsia" w:hAnsiTheme="minorEastAsia" w:eastAsiaTheme="minorEastAsia"/>
          <w:b/>
          <w:sz w:val="28"/>
        </w:rPr>
      </w:pPr>
      <w:r>
        <w:rPr>
          <w:rFonts w:hint="eastAsia" w:asciiTheme="minorEastAsia" w:hAnsiTheme="minorEastAsia" w:eastAsiaTheme="minorEastAsia"/>
          <w:b/>
          <w:sz w:val="32"/>
          <w:u w:val="single"/>
        </w:rPr>
        <w:t xml:space="preserve">  </w:t>
      </w:r>
      <w:bookmarkStart w:id="54" w:name="_Toc8037"/>
      <w:bookmarkStart w:id="55" w:name="_Toc9994"/>
      <w:r>
        <w:rPr>
          <w:rFonts w:hint="eastAsia" w:asciiTheme="minorEastAsia" w:hAnsiTheme="minorEastAsia" w:eastAsiaTheme="minorEastAsia"/>
          <w:b/>
          <w:sz w:val="32"/>
        </w:rPr>
        <w:t>年</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月</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日</w:t>
      </w:r>
      <w:bookmarkEnd w:id="54"/>
      <w:bookmarkEnd w:id="55"/>
      <w:r>
        <w:rPr>
          <w:rFonts w:asciiTheme="minorEastAsia" w:hAnsiTheme="minorEastAsia" w:eastAsiaTheme="minorEastAsia"/>
          <w:b/>
          <w:sz w:val="28"/>
        </w:rPr>
        <w:br w:type="page"/>
      </w:r>
    </w:p>
    <w:p w14:paraId="49D5B227">
      <w:pPr>
        <w:spacing w:line="360" w:lineRule="auto"/>
        <w:jc w:val="center"/>
        <w:outlineLvl w:val="1"/>
        <w:rPr>
          <w:rFonts w:asciiTheme="minorEastAsia" w:hAnsiTheme="minorEastAsia" w:eastAsiaTheme="minorEastAsia"/>
          <w:b/>
          <w:sz w:val="24"/>
        </w:rPr>
      </w:pPr>
      <w:bookmarkStart w:id="56" w:name="_Toc28960"/>
      <w:bookmarkStart w:id="57" w:name="_Toc5555"/>
      <w:r>
        <w:rPr>
          <w:rFonts w:hint="eastAsia" w:asciiTheme="minorEastAsia" w:hAnsiTheme="minorEastAsia" w:eastAsiaTheme="minorEastAsia"/>
          <w:b/>
          <w:sz w:val="24"/>
        </w:rPr>
        <w:t>一、开标一览表</w:t>
      </w:r>
      <w:bookmarkEnd w:id="56"/>
      <w:bookmarkEnd w:id="57"/>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2F03F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2620678C">
            <w:pPr>
              <w:widowControl/>
              <w:spacing w:line="360" w:lineRule="exact"/>
              <w:jc w:val="center"/>
              <w:rPr>
                <w:rFonts w:asciiTheme="minorEastAsia" w:hAnsiTheme="minorEastAsia" w:eastAsiaTheme="minorEastAsia"/>
                <w:b/>
                <w:sz w:val="24"/>
              </w:rPr>
            </w:pPr>
            <w:r>
              <w:rPr>
                <w:rFonts w:hint="eastAsia" w:asciiTheme="minorEastAsia" w:hAnsiTheme="minorEastAsia" w:eastAsiaTheme="minorEastAsia"/>
                <w:b/>
                <w:sz w:val="24"/>
              </w:rPr>
              <w:t>项目名称</w:t>
            </w:r>
          </w:p>
        </w:tc>
        <w:tc>
          <w:tcPr>
            <w:tcW w:w="3648" w:type="pct"/>
            <w:tcBorders>
              <w:top w:val="single" w:color="auto" w:sz="4" w:space="0"/>
              <w:bottom w:val="single" w:color="auto" w:sz="4" w:space="0"/>
              <w:right w:val="single" w:color="auto" w:sz="4" w:space="0"/>
            </w:tcBorders>
            <w:vAlign w:val="center"/>
          </w:tcPr>
          <w:p w14:paraId="4431367B">
            <w:pPr>
              <w:spacing w:line="360" w:lineRule="exact"/>
              <w:jc w:val="center"/>
              <w:rPr>
                <w:rFonts w:asciiTheme="minorEastAsia" w:hAnsiTheme="minorEastAsia" w:eastAsiaTheme="minorEastAsia"/>
                <w:bCs/>
                <w:sz w:val="24"/>
                <w:u w:val="single"/>
              </w:rPr>
            </w:pPr>
          </w:p>
        </w:tc>
      </w:tr>
      <w:tr w14:paraId="05C2D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463ED6DD">
            <w:pPr>
              <w:spacing w:line="360" w:lineRule="exact"/>
              <w:jc w:val="center"/>
              <w:rPr>
                <w:rFonts w:asciiTheme="minorEastAsia" w:hAnsiTheme="minorEastAsia" w:eastAsiaTheme="minorEastAsia"/>
                <w:b/>
                <w:sz w:val="24"/>
              </w:rPr>
            </w:pPr>
            <w:r>
              <w:rPr>
                <w:rFonts w:hint="eastAsia" w:asciiTheme="minorEastAsia" w:hAnsiTheme="minorEastAsia" w:eastAsiaTheme="minorEastAsia"/>
                <w:b/>
                <w:sz w:val="24"/>
              </w:rPr>
              <w:t>投标人全称</w:t>
            </w:r>
          </w:p>
        </w:tc>
        <w:tc>
          <w:tcPr>
            <w:tcW w:w="3648" w:type="pct"/>
            <w:tcBorders>
              <w:top w:val="nil"/>
            </w:tcBorders>
            <w:vAlign w:val="center"/>
          </w:tcPr>
          <w:p w14:paraId="73C5C927">
            <w:pPr>
              <w:spacing w:line="360" w:lineRule="auto"/>
              <w:rPr>
                <w:rFonts w:asciiTheme="minorEastAsia" w:hAnsiTheme="minorEastAsia" w:eastAsiaTheme="minorEastAsia"/>
                <w:sz w:val="24"/>
              </w:rPr>
            </w:pPr>
          </w:p>
        </w:tc>
      </w:tr>
      <w:tr w14:paraId="189A8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1F433C3B">
            <w:pPr>
              <w:spacing w:line="360" w:lineRule="exact"/>
              <w:jc w:val="center"/>
              <w:rPr>
                <w:rFonts w:asciiTheme="minorEastAsia" w:hAnsiTheme="minorEastAsia" w:eastAsiaTheme="minorEastAsia"/>
                <w:b/>
                <w:sz w:val="24"/>
              </w:rPr>
            </w:pPr>
            <w:r>
              <w:rPr>
                <w:rFonts w:hint="eastAsia" w:asciiTheme="minorEastAsia" w:hAnsiTheme="minorEastAsia" w:eastAsiaTheme="minorEastAsia"/>
                <w:b/>
                <w:sz w:val="24"/>
              </w:rPr>
              <w:t>投标范围</w:t>
            </w:r>
          </w:p>
        </w:tc>
        <w:tc>
          <w:tcPr>
            <w:tcW w:w="3648" w:type="pct"/>
            <w:tcBorders>
              <w:top w:val="nil"/>
            </w:tcBorders>
            <w:vAlign w:val="center"/>
          </w:tcPr>
          <w:p w14:paraId="716A5DBA">
            <w:pPr>
              <w:widowControl/>
              <w:spacing w:line="360" w:lineRule="auto"/>
              <w:rPr>
                <w:rFonts w:asciiTheme="minorEastAsia" w:hAnsiTheme="minorEastAsia" w:eastAsiaTheme="minorEastAsia"/>
                <w:sz w:val="24"/>
              </w:rPr>
            </w:pPr>
            <w:r>
              <w:rPr>
                <w:rFonts w:hint="eastAsia" w:asciiTheme="minorEastAsia" w:hAnsiTheme="minorEastAsia" w:eastAsiaTheme="minorEastAsia"/>
                <w:sz w:val="24"/>
                <w:szCs w:val="28"/>
              </w:rPr>
              <w:t>全部/第</w:t>
            </w:r>
            <w:r>
              <w:rPr>
                <w:rFonts w:hint="eastAsia" w:asciiTheme="minorEastAsia" w:hAnsiTheme="minorEastAsia" w:eastAsiaTheme="minorEastAsia"/>
                <w:sz w:val="24"/>
                <w:szCs w:val="28"/>
                <w:u w:val="single"/>
              </w:rPr>
              <w:t xml:space="preserve">   </w:t>
            </w:r>
            <w:r>
              <w:rPr>
                <w:rFonts w:hint="eastAsia" w:asciiTheme="minorEastAsia" w:hAnsiTheme="minorEastAsia" w:eastAsiaTheme="minorEastAsia"/>
                <w:sz w:val="24"/>
                <w:szCs w:val="28"/>
              </w:rPr>
              <w:t>标项</w:t>
            </w:r>
          </w:p>
        </w:tc>
      </w:tr>
      <w:tr w14:paraId="6FA59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7C5B72F0">
            <w:pPr>
              <w:spacing w:line="360" w:lineRule="exact"/>
              <w:jc w:val="center"/>
              <w:rPr>
                <w:rFonts w:asciiTheme="minorEastAsia" w:hAnsiTheme="minorEastAsia" w:eastAsiaTheme="minorEastAsia"/>
                <w:b/>
                <w:sz w:val="24"/>
              </w:rPr>
            </w:pPr>
            <w:r>
              <w:rPr>
                <w:rFonts w:hint="eastAsia" w:asciiTheme="minorEastAsia" w:hAnsiTheme="minorEastAsia" w:eastAsiaTheme="minorEastAsia"/>
                <w:b/>
                <w:sz w:val="24"/>
              </w:rPr>
              <w:t>投标报价</w:t>
            </w:r>
          </w:p>
        </w:tc>
        <w:tc>
          <w:tcPr>
            <w:tcW w:w="3648" w:type="pct"/>
            <w:tcBorders>
              <w:top w:val="nil"/>
            </w:tcBorders>
            <w:vAlign w:val="center"/>
          </w:tcPr>
          <w:p w14:paraId="5B555879">
            <w:pPr>
              <w:snapToGrid w:val="0"/>
              <w:spacing w:line="360" w:lineRule="auto"/>
              <w:jc w:val="left"/>
              <w:rPr>
                <w:rFonts w:ascii="宋体" w:hAnsi="宋体" w:eastAsia="宋体" w:cs="宋体"/>
                <w:bCs/>
                <w:sz w:val="24"/>
                <w:szCs w:val="24"/>
                <w:u w:val="single"/>
              </w:rPr>
            </w:pPr>
            <w:r>
              <w:rPr>
                <w:rFonts w:hint="eastAsia" w:ascii="宋体" w:hAnsi="宋体" w:eastAsia="宋体" w:cs="宋体"/>
                <w:bCs/>
                <w:sz w:val="24"/>
                <w:szCs w:val="24"/>
              </w:rPr>
              <w:t>大写：</w:t>
            </w:r>
            <w:r>
              <w:rPr>
                <w:rFonts w:hint="eastAsia" w:ascii="宋体" w:hAnsi="宋体" w:eastAsia="宋体" w:cs="宋体"/>
                <w:bCs/>
                <w:sz w:val="24"/>
                <w:szCs w:val="24"/>
                <w:u w:val="single"/>
              </w:rPr>
              <w:t xml:space="preserve">                     </w:t>
            </w:r>
          </w:p>
          <w:p w14:paraId="742FFA63">
            <w:pPr>
              <w:spacing w:line="360" w:lineRule="auto"/>
              <w:ind w:right="-670"/>
              <w:rPr>
                <w:rFonts w:asciiTheme="minorEastAsia" w:hAnsiTheme="minorEastAsia" w:eastAsiaTheme="minorEastAsia"/>
                <w:sz w:val="24"/>
              </w:rPr>
            </w:pPr>
            <w:r>
              <w:rPr>
                <w:rFonts w:hint="eastAsia" w:ascii="宋体" w:hAnsi="宋体" w:eastAsia="宋体" w:cs="宋体"/>
                <w:bCs/>
                <w:sz w:val="24"/>
                <w:szCs w:val="24"/>
              </w:rPr>
              <w:t>小写：</w:t>
            </w:r>
            <w:r>
              <w:rPr>
                <w:rFonts w:hint="eastAsia" w:ascii="宋体" w:hAnsi="宋体" w:eastAsia="宋体" w:cs="宋体"/>
                <w:bCs/>
                <w:sz w:val="24"/>
                <w:szCs w:val="24"/>
                <w:u w:val="single"/>
              </w:rPr>
              <w:t xml:space="preserve">                     </w:t>
            </w:r>
          </w:p>
        </w:tc>
      </w:tr>
      <w:tr w14:paraId="69EB2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3FE0FA93">
            <w:pPr>
              <w:spacing w:line="360" w:lineRule="auto"/>
              <w:jc w:val="center"/>
              <w:rPr>
                <w:rFonts w:asciiTheme="minorEastAsia" w:hAnsiTheme="minorEastAsia" w:eastAsiaTheme="minorEastAsia"/>
                <w:b/>
                <w:sz w:val="24"/>
              </w:rPr>
            </w:pPr>
            <w:r>
              <w:rPr>
                <w:rFonts w:hint="eastAsia" w:asciiTheme="minorEastAsia" w:hAnsiTheme="minorEastAsia" w:eastAsiaTheme="minorEastAsia"/>
                <w:b/>
                <w:sz w:val="24"/>
              </w:rPr>
              <w:t>其他</w:t>
            </w:r>
          </w:p>
        </w:tc>
        <w:tc>
          <w:tcPr>
            <w:tcW w:w="3648" w:type="pct"/>
            <w:tcBorders>
              <w:top w:val="nil"/>
            </w:tcBorders>
            <w:vAlign w:val="center"/>
          </w:tcPr>
          <w:p w14:paraId="34F9B03F">
            <w:pPr>
              <w:spacing w:line="360" w:lineRule="auto"/>
              <w:jc w:val="left"/>
              <w:rPr>
                <w:rFonts w:asciiTheme="minorEastAsia" w:hAnsiTheme="minorEastAsia" w:eastAsiaTheme="minorEastAsia"/>
                <w:sz w:val="24"/>
                <w:szCs w:val="28"/>
              </w:rPr>
            </w:pPr>
          </w:p>
        </w:tc>
      </w:tr>
    </w:tbl>
    <w:p w14:paraId="7D7882EC">
      <w:pPr>
        <w:spacing w:line="360" w:lineRule="auto"/>
        <w:ind w:firstLine="4320" w:firstLineChars="1800"/>
        <w:jc w:val="center"/>
        <w:rPr>
          <w:rFonts w:asciiTheme="minorEastAsia" w:hAnsiTheme="minorEastAsia" w:eastAsiaTheme="minorEastAsia"/>
          <w:bCs/>
          <w:sz w:val="24"/>
          <w:u w:val="single"/>
        </w:rPr>
      </w:pPr>
      <w:r>
        <w:rPr>
          <w:rFonts w:hint="eastAsia" w:asciiTheme="minorEastAsia" w:hAnsiTheme="minorEastAsia" w:eastAsiaTheme="minorEastAsia"/>
          <w:bCs/>
          <w:sz w:val="24"/>
        </w:rPr>
        <w:t>投标人公章：</w:t>
      </w:r>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r>
        <w:rPr>
          <w:rFonts w:hint="eastAsia" w:asciiTheme="minorEastAsia" w:hAnsiTheme="minorEastAsia" w:eastAsiaTheme="minorEastAsia"/>
          <w:bCs/>
          <w:sz w:val="24"/>
          <w:u w:val="single"/>
        </w:rPr>
        <w:t xml:space="preserve">    </w:t>
      </w:r>
    </w:p>
    <w:p w14:paraId="1343A3B4">
      <w:pPr>
        <w:spacing w:line="360" w:lineRule="auto"/>
        <w:ind w:firstLine="4320" w:firstLineChars="1800"/>
        <w:jc w:val="center"/>
        <w:rPr>
          <w:rFonts w:asciiTheme="minorEastAsia" w:hAnsiTheme="minorEastAsia" w:eastAsiaTheme="minorEastAsia"/>
          <w:bCs/>
          <w:sz w:val="24"/>
        </w:rPr>
      </w:pPr>
      <w:r>
        <w:rPr>
          <w:rFonts w:hint="eastAsia" w:asciiTheme="minorEastAsia" w:hAnsiTheme="minorEastAsia" w:eastAsiaTheme="minorEastAsia"/>
          <w:bCs/>
          <w:sz w:val="24"/>
        </w:rPr>
        <w:t>日       期：</w:t>
      </w:r>
      <w:r>
        <w:rPr>
          <w:rFonts w:hint="eastAsia" w:asciiTheme="minorEastAsia" w:hAnsiTheme="minorEastAsia" w:eastAsiaTheme="minorEastAsia"/>
          <w:bCs/>
          <w:sz w:val="24"/>
          <w:u w:val="single"/>
        </w:rPr>
        <w:t xml:space="preserve">             </w:t>
      </w:r>
    </w:p>
    <w:p w14:paraId="24EBEF8F">
      <w:pPr>
        <w:spacing w:line="360" w:lineRule="auto"/>
        <w:rPr>
          <w:rFonts w:asciiTheme="minorEastAsia" w:hAnsiTheme="minorEastAsia" w:eastAsiaTheme="minorEastAsia"/>
          <w:sz w:val="24"/>
        </w:rPr>
      </w:pPr>
      <w:r>
        <w:rPr>
          <w:rFonts w:asciiTheme="minorEastAsia" w:hAnsiTheme="minorEastAsia" w:eastAsiaTheme="minorEastAsia"/>
          <w:sz w:val="24"/>
        </w:rPr>
        <w:t xml:space="preserve">     </w:t>
      </w:r>
    </w:p>
    <w:p w14:paraId="0A51F926">
      <w:pPr>
        <w:spacing w:line="360" w:lineRule="auto"/>
        <w:ind w:firstLine="360" w:firstLineChars="150"/>
        <w:rPr>
          <w:rFonts w:asciiTheme="minorEastAsia" w:hAnsiTheme="minorEastAsia" w:eastAsiaTheme="minorEastAsia"/>
          <w:sz w:val="24"/>
        </w:rPr>
      </w:pPr>
    </w:p>
    <w:p w14:paraId="05CFE320">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注：</w:t>
      </w:r>
    </w:p>
    <w:p w14:paraId="1348FE92">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w:t>
      </w:r>
      <w:r>
        <w:rPr>
          <w:rFonts w:asciiTheme="minorEastAsia" w:hAnsiTheme="minorEastAsia" w:eastAsiaTheme="minorEastAsia"/>
          <w:sz w:val="24"/>
        </w:rPr>
        <w:t>此表用于开标唱标之用。</w:t>
      </w:r>
    </w:p>
    <w:p w14:paraId="725AE680">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w:t>
      </w:r>
      <w:r>
        <w:rPr>
          <w:rFonts w:asciiTheme="minorEastAsia" w:hAnsiTheme="minorEastAsia" w:eastAsiaTheme="minorEastAsia"/>
          <w:sz w:val="24"/>
        </w:rPr>
        <w:t>表中投标报价即为优惠后报价，并作为评审及定标依据。任何有选择或有条件的投标报价，或者表中某一标项填写多个报价，均为无效报价。</w:t>
      </w:r>
    </w:p>
    <w:p w14:paraId="2449B6EF">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3.表中大写金额与小写金额不一致的，以大写金额为准。</w:t>
      </w:r>
      <w:r>
        <w:rPr>
          <w:rFonts w:asciiTheme="minorEastAsia" w:hAnsiTheme="minorEastAsia" w:eastAsiaTheme="minorEastAsia"/>
          <w:sz w:val="24"/>
        </w:rPr>
        <w:br w:type="page"/>
      </w:r>
    </w:p>
    <w:p w14:paraId="3AFBC12C">
      <w:pPr>
        <w:spacing w:line="360" w:lineRule="auto"/>
        <w:jc w:val="center"/>
        <w:outlineLvl w:val="1"/>
        <w:rPr>
          <w:rFonts w:asciiTheme="minorEastAsia" w:hAnsiTheme="minorEastAsia" w:eastAsiaTheme="minorEastAsia"/>
          <w:b/>
          <w:sz w:val="24"/>
        </w:rPr>
      </w:pPr>
      <w:bookmarkStart w:id="58" w:name="_Toc6441"/>
      <w:bookmarkStart w:id="59" w:name="_Toc18010"/>
      <w:r>
        <w:rPr>
          <w:rFonts w:hint="eastAsia" w:asciiTheme="minorEastAsia" w:hAnsiTheme="minorEastAsia" w:eastAsiaTheme="minorEastAsia"/>
          <w:b/>
          <w:sz w:val="24"/>
        </w:rPr>
        <w:t>二、投标函</w:t>
      </w:r>
      <w:bookmarkEnd w:id="58"/>
      <w:bookmarkEnd w:id="59"/>
    </w:p>
    <w:p w14:paraId="672E805C">
      <w:pPr>
        <w:pStyle w:val="12"/>
        <w:spacing w:line="360" w:lineRule="auto"/>
        <w:rPr>
          <w:rFonts w:ascii="宋体" w:hAnsi="宋体"/>
          <w:sz w:val="24"/>
          <w:u w:val="single"/>
        </w:rPr>
      </w:pPr>
      <w:r>
        <w:rPr>
          <w:rFonts w:hint="eastAsia" w:ascii="宋体" w:hAnsi="宋体"/>
          <w:sz w:val="24"/>
        </w:rPr>
        <w:t>致：</w:t>
      </w:r>
      <w:r>
        <w:rPr>
          <w:rFonts w:hint="eastAsia" w:ascii="宋体" w:hAnsi="宋体"/>
          <w:sz w:val="24"/>
          <w:u w:val="single"/>
        </w:rPr>
        <w:t>采购人</w:t>
      </w:r>
    </w:p>
    <w:p w14:paraId="7DFF3F48">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根据贵方的招标公告，我方兹宣布同意如下：</w:t>
      </w:r>
    </w:p>
    <w:p w14:paraId="442BA2A5">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宋体" w:hAnsi="宋体" w:eastAsia="宋体" w:cs="宋体"/>
          <w:sz w:val="24"/>
          <w:szCs w:val="24"/>
        </w:rPr>
        <w:t>我方根据招标文件的规定，严格履行合同的责任和义务,并保证于买方要求的日期内完成，并通过买方验收。</w:t>
      </w:r>
    </w:p>
    <w:p w14:paraId="590B6696">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2.我方已详细审核全部招标文件，包括招标文件附件及更正公告（如有），我方正式认可并遵守本次招标文件，并对招标文件各项条款、规定及要求均无异议。</w:t>
      </w:r>
    </w:p>
    <w:p w14:paraId="256B6FBF">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3.我方同意从招标文件规定的开标日期起遵循本招标文件，并在招标文件规定的投标有效期之前均具有约束力。</w:t>
      </w:r>
    </w:p>
    <w:p w14:paraId="25AAB167">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20648D0B">
      <w:pPr>
        <w:spacing w:line="360" w:lineRule="auto"/>
        <w:ind w:firstLine="4800" w:firstLineChars="2000"/>
        <w:rPr>
          <w:rFonts w:ascii="宋体" w:hAnsi="宋体" w:eastAsia="宋体"/>
          <w:sz w:val="24"/>
        </w:rPr>
      </w:pPr>
    </w:p>
    <w:p w14:paraId="4C83A38E">
      <w:pPr>
        <w:spacing w:line="360" w:lineRule="auto"/>
        <w:ind w:firstLine="4800" w:firstLineChars="2000"/>
        <w:rPr>
          <w:rFonts w:ascii="宋体" w:hAnsi="宋体" w:eastAsia="宋体"/>
          <w:sz w:val="24"/>
          <w:u w:val="single"/>
        </w:rPr>
      </w:pPr>
      <w:r>
        <w:rPr>
          <w:rFonts w:hint="eastAsia" w:ascii="宋体" w:hAnsi="宋体" w:eastAsia="宋体"/>
          <w:sz w:val="24"/>
        </w:rPr>
        <w:t>投标人公章：</w:t>
      </w:r>
      <w:r>
        <w:rPr>
          <w:rFonts w:hint="eastAsia" w:ascii="宋体" w:hAnsi="宋体" w:eastAsia="宋体"/>
          <w:sz w:val="24"/>
          <w:u w:val="single"/>
        </w:rPr>
        <w:t xml:space="preserve">             </w:t>
      </w:r>
    </w:p>
    <w:p w14:paraId="71266024">
      <w:pPr>
        <w:spacing w:line="360" w:lineRule="auto"/>
        <w:ind w:firstLine="4800" w:firstLineChars="2000"/>
        <w:rPr>
          <w:rFonts w:ascii="宋体" w:hAnsi="宋体" w:eastAsia="宋体"/>
          <w:sz w:val="24"/>
          <w:u w:val="single"/>
        </w:rPr>
      </w:pPr>
      <w:r>
        <w:rPr>
          <w:rFonts w:hint="eastAsia" w:ascii="宋体" w:hAnsi="宋体" w:eastAsia="宋体"/>
          <w:sz w:val="24"/>
        </w:rPr>
        <w:t>日          期：</w:t>
      </w:r>
      <w:r>
        <w:rPr>
          <w:rFonts w:hint="eastAsia" w:ascii="宋体" w:hAnsi="宋体" w:eastAsia="宋体"/>
          <w:sz w:val="24"/>
          <w:u w:val="single"/>
        </w:rPr>
        <w:t xml:space="preserve">             </w:t>
      </w:r>
    </w:p>
    <w:p w14:paraId="684331F2">
      <w:pPr>
        <w:widowControl/>
        <w:jc w:val="left"/>
        <w:rPr>
          <w:rFonts w:ascii="宋体" w:hAnsi="宋体" w:eastAsia="宋体"/>
          <w:sz w:val="24"/>
          <w:u w:val="single"/>
        </w:rPr>
      </w:pPr>
      <w:r>
        <w:rPr>
          <w:rFonts w:ascii="宋体" w:hAnsi="宋体" w:eastAsia="宋体"/>
          <w:sz w:val="24"/>
          <w:u w:val="single"/>
        </w:rPr>
        <w:br w:type="page"/>
      </w:r>
    </w:p>
    <w:p w14:paraId="74E00E44">
      <w:pPr>
        <w:spacing w:line="360" w:lineRule="auto"/>
        <w:jc w:val="center"/>
        <w:outlineLvl w:val="1"/>
        <w:rPr>
          <w:rFonts w:asciiTheme="minorEastAsia" w:hAnsiTheme="minorEastAsia" w:eastAsiaTheme="minorEastAsia"/>
          <w:b/>
          <w:sz w:val="24"/>
        </w:rPr>
      </w:pPr>
      <w:bookmarkStart w:id="60" w:name="_Toc1328"/>
      <w:r>
        <w:rPr>
          <w:rFonts w:hint="eastAsia" w:asciiTheme="minorEastAsia" w:hAnsiTheme="minorEastAsia" w:eastAsiaTheme="minorEastAsia"/>
          <w:b/>
          <w:sz w:val="24"/>
        </w:rPr>
        <w:t>三．投标人资格声明书</w:t>
      </w:r>
      <w:bookmarkEnd w:id="60"/>
      <w:r>
        <w:rPr>
          <w:rFonts w:hint="eastAsia" w:asciiTheme="minorEastAsia" w:hAnsiTheme="minorEastAsia" w:eastAsiaTheme="minorEastAsia"/>
          <w:b/>
          <w:sz w:val="24"/>
        </w:rPr>
        <w:t xml:space="preserve"> </w:t>
      </w:r>
    </w:p>
    <w:p w14:paraId="5290427C">
      <w:pPr>
        <w:pStyle w:val="12"/>
        <w:spacing w:line="360" w:lineRule="auto"/>
        <w:rPr>
          <w:rFonts w:asciiTheme="minorEastAsia" w:hAnsiTheme="minorEastAsia" w:cstheme="minorEastAsia"/>
          <w:sz w:val="24"/>
          <w:szCs w:val="24"/>
        </w:rPr>
      </w:pPr>
      <w:r>
        <w:rPr>
          <w:rFonts w:hint="eastAsia" w:ascii="宋体" w:hAnsi="宋体"/>
          <w:sz w:val="24"/>
        </w:rPr>
        <w:t>致：</w:t>
      </w:r>
      <w:r>
        <w:rPr>
          <w:rFonts w:hint="eastAsia" w:ascii="宋体" w:hAnsi="宋体"/>
          <w:sz w:val="24"/>
          <w:u w:val="single"/>
        </w:rPr>
        <w:t>采购人</w:t>
      </w:r>
    </w:p>
    <w:p w14:paraId="03536B96">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在参与本次项目投标中，我单位承诺：</w:t>
      </w:r>
    </w:p>
    <w:p w14:paraId="3253197B">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（一）具有良好的商业信誉和健全的财务会计制度；</w:t>
      </w:r>
    </w:p>
    <w:p w14:paraId="3905622C">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（二）具有履行合同所必需的设备和专业技术能力；</w:t>
      </w:r>
    </w:p>
    <w:p w14:paraId="1E93FE57">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（三）有依法缴纳税收和社会保障资金的良好记录；</w:t>
      </w:r>
    </w:p>
    <w:p w14:paraId="2E91069B">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四）参加采购活动前三年内，在经营活动中没有重大违法记录（重大违法记录指因违法经营受到刑事处罚或者责令停产停业、吊销许可证或者执照、较大数额罚款等行政处罚，不包括因违法经营被禁止在一定期限内参加采购活动，但期限已经届满的情形）；</w:t>
      </w:r>
    </w:p>
    <w:p w14:paraId="0CB7283A">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（五）我单位不存在为采购项目提供整体设计、规范编制或者项目管理、监理、检测等服务后，再参加该采购项目的其他采购活动的情形（单一来源采购项目除外）；</w:t>
      </w:r>
    </w:p>
    <w:p w14:paraId="698EEA39">
      <w:pPr>
        <w:widowControl/>
        <w:spacing w:line="360" w:lineRule="auto"/>
        <w:ind w:firstLine="480" w:firstLineChars="200"/>
        <w:jc w:val="left"/>
        <w:rPr>
          <w:rFonts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（六）与我单位存在单位负责人为同一人或者存在直接控股、管理关系的其他法人单位信息如下（如有，不论其是否参加同一合同项下的采购活动均须填写）：</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7935A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ABC6C8B">
            <w:pPr>
              <w:widowControl/>
              <w:spacing w:before="156" w:beforeLines="50" w:after="10"/>
              <w:jc w:val="center"/>
              <w:rPr>
                <w:rFonts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序号</w:t>
            </w:r>
          </w:p>
        </w:tc>
        <w:tc>
          <w:tcPr>
            <w:tcW w:w="2841" w:type="dxa"/>
          </w:tcPr>
          <w:p w14:paraId="199CD030">
            <w:pPr>
              <w:pStyle w:val="2"/>
              <w:spacing w:before="156" w:beforeLines="50" w:after="10"/>
              <w:jc w:val="center"/>
              <w:rPr>
                <w:rFonts w:asciiTheme="minorEastAsia" w:hAnsiTheme="minorEastAsia" w:eastAsiaTheme="minorEastAsia" w:cstheme="minorEastAsia"/>
                <w:color w:val="000000"/>
                <w:kern w:val="0"/>
                <w:sz w:val="24"/>
                <w:lang w:val="en-US" w:bidi="ar"/>
              </w:rPr>
            </w:pPr>
            <w:r>
              <w:rPr>
                <w:rFonts w:hint="eastAsia" w:asciiTheme="minorEastAsia" w:hAnsiTheme="minorEastAsia" w:eastAsiaTheme="minorEastAsia" w:cstheme="minorEastAsia"/>
                <w:color w:val="000000"/>
                <w:kern w:val="0"/>
                <w:sz w:val="24"/>
                <w:lang w:val="en-US" w:bidi="ar"/>
              </w:rPr>
              <w:t>单位名称</w:t>
            </w:r>
          </w:p>
        </w:tc>
        <w:tc>
          <w:tcPr>
            <w:tcW w:w="2841" w:type="dxa"/>
          </w:tcPr>
          <w:p w14:paraId="2FEB840D">
            <w:pPr>
              <w:pStyle w:val="2"/>
              <w:spacing w:before="156" w:beforeLines="50" w:after="10"/>
              <w:jc w:val="center"/>
              <w:rPr>
                <w:rFonts w:asciiTheme="minorEastAsia" w:hAnsiTheme="minorEastAsia" w:eastAsiaTheme="minorEastAsia" w:cstheme="minorEastAsia"/>
                <w:color w:val="000000"/>
                <w:kern w:val="0"/>
                <w:sz w:val="24"/>
                <w:lang w:val="en-US" w:bidi="ar"/>
              </w:rPr>
            </w:pPr>
            <w:r>
              <w:rPr>
                <w:rFonts w:hint="eastAsia" w:asciiTheme="minorEastAsia" w:hAnsiTheme="minorEastAsia" w:eastAsiaTheme="minorEastAsia" w:cstheme="minorEastAsia"/>
                <w:color w:val="000000"/>
                <w:kern w:val="0"/>
                <w:sz w:val="24"/>
                <w:lang w:val="en-US" w:bidi="ar"/>
              </w:rPr>
              <w:t>相互关系</w:t>
            </w:r>
          </w:p>
        </w:tc>
      </w:tr>
      <w:tr w14:paraId="14363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B29A884">
            <w:pPr>
              <w:pStyle w:val="2"/>
              <w:spacing w:before="156" w:beforeLines="50" w:after="10"/>
              <w:jc w:val="center"/>
              <w:rPr>
                <w:rFonts w:asciiTheme="minorEastAsia" w:hAnsiTheme="minorEastAsia" w:eastAsiaTheme="minorEastAsia" w:cstheme="minorEastAsia"/>
                <w:color w:val="000000"/>
                <w:kern w:val="0"/>
                <w:sz w:val="24"/>
                <w:lang w:val="en-US" w:bidi="ar"/>
              </w:rPr>
            </w:pPr>
            <w:r>
              <w:rPr>
                <w:rFonts w:hint="eastAsia" w:asciiTheme="minorEastAsia" w:hAnsiTheme="minorEastAsia" w:eastAsiaTheme="minorEastAsia" w:cstheme="minorEastAsia"/>
                <w:color w:val="000000"/>
                <w:kern w:val="0"/>
                <w:sz w:val="24"/>
                <w:lang w:val="en-US" w:bidi="ar"/>
              </w:rPr>
              <w:t>1</w:t>
            </w:r>
          </w:p>
        </w:tc>
        <w:tc>
          <w:tcPr>
            <w:tcW w:w="2841" w:type="dxa"/>
          </w:tcPr>
          <w:p w14:paraId="28329D35">
            <w:pPr>
              <w:pStyle w:val="2"/>
              <w:spacing w:before="156" w:beforeLines="50" w:after="10"/>
              <w:jc w:val="center"/>
              <w:rPr>
                <w:rFonts w:asciiTheme="minorEastAsia" w:hAnsiTheme="minorEastAsia" w:eastAsiaTheme="minorEastAsia" w:cstheme="minorEastAsia"/>
                <w:color w:val="000000"/>
                <w:kern w:val="0"/>
                <w:sz w:val="24"/>
                <w:lang w:val="en-US" w:bidi="ar"/>
              </w:rPr>
            </w:pPr>
          </w:p>
        </w:tc>
        <w:tc>
          <w:tcPr>
            <w:tcW w:w="2841" w:type="dxa"/>
          </w:tcPr>
          <w:p w14:paraId="38C5B825">
            <w:pPr>
              <w:pStyle w:val="2"/>
              <w:spacing w:before="156" w:beforeLines="50" w:after="10"/>
              <w:jc w:val="center"/>
              <w:rPr>
                <w:rFonts w:asciiTheme="minorEastAsia" w:hAnsiTheme="minorEastAsia" w:eastAsiaTheme="minorEastAsia" w:cstheme="minorEastAsia"/>
                <w:color w:val="000000"/>
                <w:kern w:val="0"/>
                <w:sz w:val="24"/>
                <w:lang w:val="en-US" w:bidi="ar"/>
              </w:rPr>
            </w:pPr>
          </w:p>
        </w:tc>
      </w:tr>
      <w:tr w14:paraId="77938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00D8281">
            <w:pPr>
              <w:pStyle w:val="2"/>
              <w:spacing w:before="156" w:beforeLines="50" w:after="10"/>
              <w:jc w:val="center"/>
              <w:rPr>
                <w:rFonts w:asciiTheme="minorEastAsia" w:hAnsiTheme="minorEastAsia" w:eastAsiaTheme="minorEastAsia" w:cstheme="minorEastAsia"/>
                <w:color w:val="000000"/>
                <w:kern w:val="0"/>
                <w:sz w:val="24"/>
                <w:lang w:val="en-US" w:bidi="ar"/>
              </w:rPr>
            </w:pPr>
            <w:r>
              <w:rPr>
                <w:rFonts w:hint="eastAsia" w:asciiTheme="minorEastAsia" w:hAnsiTheme="minorEastAsia" w:eastAsiaTheme="minorEastAsia" w:cstheme="minorEastAsia"/>
                <w:color w:val="000000"/>
                <w:kern w:val="0"/>
                <w:sz w:val="24"/>
                <w:lang w:val="en-US" w:bidi="ar"/>
              </w:rPr>
              <w:t>2</w:t>
            </w:r>
          </w:p>
        </w:tc>
        <w:tc>
          <w:tcPr>
            <w:tcW w:w="2841" w:type="dxa"/>
          </w:tcPr>
          <w:p w14:paraId="21544470">
            <w:pPr>
              <w:pStyle w:val="2"/>
              <w:spacing w:before="156" w:beforeLines="50" w:after="10"/>
              <w:jc w:val="center"/>
              <w:rPr>
                <w:rFonts w:asciiTheme="minorEastAsia" w:hAnsiTheme="minorEastAsia" w:eastAsiaTheme="minorEastAsia" w:cstheme="minorEastAsia"/>
                <w:color w:val="000000"/>
                <w:kern w:val="0"/>
                <w:sz w:val="24"/>
                <w:lang w:val="en-US" w:bidi="ar"/>
              </w:rPr>
            </w:pPr>
          </w:p>
        </w:tc>
        <w:tc>
          <w:tcPr>
            <w:tcW w:w="2841" w:type="dxa"/>
          </w:tcPr>
          <w:p w14:paraId="38D251A9">
            <w:pPr>
              <w:pStyle w:val="2"/>
              <w:spacing w:before="156" w:beforeLines="50" w:after="10"/>
              <w:jc w:val="center"/>
              <w:rPr>
                <w:rFonts w:asciiTheme="minorEastAsia" w:hAnsiTheme="minorEastAsia" w:eastAsiaTheme="minorEastAsia" w:cstheme="minorEastAsia"/>
                <w:color w:val="000000"/>
                <w:kern w:val="0"/>
                <w:sz w:val="24"/>
                <w:lang w:val="en-US" w:bidi="ar"/>
              </w:rPr>
            </w:pPr>
          </w:p>
        </w:tc>
      </w:tr>
    </w:tbl>
    <w:p w14:paraId="70BF6D70">
      <w:pPr>
        <w:spacing w:line="360" w:lineRule="auto"/>
        <w:ind w:firstLine="435"/>
        <w:rPr>
          <w:rFonts w:ascii="宋体" w:hAnsi="宋体" w:eastAsia="宋体"/>
          <w:sz w:val="24"/>
        </w:rPr>
      </w:pPr>
      <w:r>
        <w:rPr>
          <w:rFonts w:hint="eastAsia" w:ascii="宋体" w:hAnsi="宋体" w:eastAsia="宋体"/>
          <w:sz w:val="24"/>
        </w:rPr>
        <w:t>本单位对</w:t>
      </w:r>
      <w:r>
        <w:rPr>
          <w:rFonts w:hint="eastAsia" w:asciiTheme="minorEastAsia" w:hAnsiTheme="minorEastAsia" w:eastAsiaTheme="minorEastAsia"/>
          <w:sz w:val="24"/>
        </w:rPr>
        <w:t>上述</w:t>
      </w:r>
      <w:r>
        <w:rPr>
          <w:rFonts w:hint="eastAsia" w:ascii="宋体" w:hAnsi="宋体" w:eastAsia="宋体"/>
          <w:sz w:val="24"/>
        </w:rPr>
        <w:t>声明的真实性负责。如有虚假，将依法承担相应责任。</w:t>
      </w:r>
    </w:p>
    <w:p w14:paraId="7AD64F4E">
      <w:pPr>
        <w:spacing w:line="360" w:lineRule="auto"/>
        <w:ind w:firstLine="4800" w:firstLineChars="2000"/>
        <w:rPr>
          <w:rFonts w:ascii="宋体" w:hAnsi="宋体" w:eastAsia="宋体"/>
          <w:sz w:val="24"/>
          <w:u w:val="single"/>
        </w:rPr>
      </w:pPr>
      <w:r>
        <w:rPr>
          <w:rFonts w:hint="eastAsia" w:ascii="宋体" w:hAnsi="宋体" w:eastAsia="宋体"/>
          <w:sz w:val="24"/>
        </w:rPr>
        <w:t>投标人公章：</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p>
    <w:p w14:paraId="0AAD59A7">
      <w:pPr>
        <w:tabs>
          <w:tab w:val="left" w:pos="630"/>
        </w:tabs>
        <w:spacing w:line="360" w:lineRule="auto"/>
        <w:ind w:firstLine="4800" w:firstLineChars="2000"/>
        <w:rPr>
          <w:rFonts w:ascii="宋体" w:hAnsi="宋体" w:eastAsia="宋体"/>
          <w:sz w:val="24"/>
          <w:u w:val="single"/>
        </w:rPr>
      </w:pPr>
      <w:r>
        <w:rPr>
          <w:rFonts w:hint="eastAsia" w:ascii="宋体" w:hAnsi="宋体" w:eastAsia="宋体"/>
          <w:sz w:val="24"/>
        </w:rPr>
        <w:t xml:space="preserve">日    </w:t>
      </w:r>
      <w:r>
        <w:rPr>
          <w:rFonts w:ascii="宋体" w:hAnsi="宋体" w:eastAsia="宋体"/>
          <w:sz w:val="24"/>
        </w:rPr>
        <w:t xml:space="preserve">  </w:t>
      </w:r>
      <w:r>
        <w:rPr>
          <w:rFonts w:hint="eastAsia" w:ascii="宋体" w:hAnsi="宋体" w:eastAsia="宋体"/>
          <w:sz w:val="24"/>
        </w:rPr>
        <w:t>期：</w:t>
      </w:r>
      <w:r>
        <w:rPr>
          <w:rFonts w:hint="eastAsia" w:ascii="宋体" w:hAnsi="宋体" w:eastAsia="宋体"/>
          <w:sz w:val="24"/>
          <w:u w:val="single"/>
        </w:rPr>
        <w:t xml:space="preserve">             </w:t>
      </w:r>
    </w:p>
    <w:p w14:paraId="375507F4">
      <w:pPr>
        <w:pStyle w:val="2"/>
        <w:rPr>
          <w:rFonts w:asciiTheme="minorEastAsia" w:hAnsiTheme="minorEastAsia" w:eastAsiaTheme="minorEastAsia" w:cstheme="minorEastAsia"/>
          <w:color w:val="000000"/>
          <w:kern w:val="0"/>
          <w:sz w:val="24"/>
          <w:lang w:val="en-US" w:bidi="ar"/>
        </w:rPr>
      </w:pPr>
    </w:p>
    <w:p w14:paraId="541EDC87">
      <w:pPr>
        <w:pStyle w:val="2"/>
        <w:rPr>
          <w:rFonts w:asciiTheme="minorEastAsia" w:hAnsiTheme="minorEastAsia" w:eastAsiaTheme="minorEastAsia" w:cstheme="minorEastAsia"/>
          <w:color w:val="000000"/>
          <w:kern w:val="0"/>
          <w:sz w:val="24"/>
          <w:lang w:val="en-US" w:bidi="ar"/>
        </w:rPr>
      </w:pPr>
    </w:p>
    <w:p w14:paraId="3EFF0C6C">
      <w:pPr>
        <w:pStyle w:val="2"/>
        <w:rPr>
          <w:rFonts w:asciiTheme="minorEastAsia" w:hAnsiTheme="minorEastAsia" w:eastAsiaTheme="minorEastAsia" w:cstheme="minorEastAsia"/>
          <w:color w:val="000000"/>
          <w:kern w:val="0"/>
          <w:sz w:val="24"/>
          <w:lang w:val="en-US" w:bidi="ar"/>
        </w:rPr>
      </w:pPr>
    </w:p>
    <w:p w14:paraId="598C5BDB">
      <w:pPr>
        <w:rPr>
          <w:rFonts w:asciiTheme="minorEastAsia" w:hAnsiTheme="minorEastAsia" w:eastAsiaTheme="minorEastAsia"/>
          <w:b/>
          <w:sz w:val="24"/>
        </w:rPr>
      </w:pPr>
      <w:bookmarkStart w:id="61" w:name="_Toc11607"/>
      <w:r>
        <w:rPr>
          <w:rFonts w:hint="eastAsia" w:asciiTheme="minorEastAsia" w:hAnsiTheme="minorEastAsia" w:eastAsiaTheme="minorEastAsia"/>
          <w:b/>
          <w:sz w:val="24"/>
        </w:rPr>
        <w:br w:type="page"/>
      </w:r>
    </w:p>
    <w:p w14:paraId="78ACCB7A">
      <w:pPr>
        <w:spacing w:line="360" w:lineRule="auto"/>
        <w:jc w:val="center"/>
        <w:outlineLvl w:val="1"/>
        <w:rPr>
          <w:rFonts w:asciiTheme="minorEastAsia" w:hAnsiTheme="minorEastAsia" w:eastAsiaTheme="minorEastAsia"/>
          <w:b/>
          <w:sz w:val="24"/>
        </w:rPr>
      </w:pPr>
      <w:bookmarkStart w:id="62" w:name="_Toc16960"/>
      <w:r>
        <w:rPr>
          <w:rFonts w:hint="eastAsia" w:asciiTheme="minorEastAsia" w:hAnsiTheme="minorEastAsia" w:eastAsiaTheme="minorEastAsia"/>
          <w:b/>
          <w:sz w:val="24"/>
        </w:rPr>
        <w:t>四、授权书</w:t>
      </w:r>
      <w:bookmarkEnd w:id="61"/>
      <w:bookmarkEnd w:id="62"/>
    </w:p>
    <w:p w14:paraId="18070F3E">
      <w:pPr>
        <w:pStyle w:val="11"/>
        <w:snapToGrid w:val="0"/>
        <w:spacing w:line="360" w:lineRule="auto"/>
        <w:ind w:firstLine="480" w:firstLineChars="200"/>
        <w:jc w:val="left"/>
        <w:rPr>
          <w:rFonts w:hAnsi="宋体" w:eastAsia="宋体"/>
          <w:sz w:val="24"/>
          <w:szCs w:val="28"/>
        </w:rPr>
      </w:pPr>
    </w:p>
    <w:p w14:paraId="61E0842E">
      <w:pPr>
        <w:spacing w:line="360" w:lineRule="auto"/>
        <w:ind w:firstLine="435"/>
        <w:rPr>
          <w:rFonts w:hAnsi="宋体" w:eastAsia="宋体"/>
          <w:sz w:val="24"/>
          <w:szCs w:val="28"/>
        </w:rPr>
      </w:pPr>
      <w:r>
        <w:rPr>
          <w:rFonts w:hint="eastAsia" w:hAnsi="宋体" w:eastAsia="宋体"/>
          <w:sz w:val="24"/>
          <w:szCs w:val="28"/>
        </w:rPr>
        <w:t>本</w:t>
      </w:r>
      <w:r>
        <w:rPr>
          <w:rFonts w:hint="eastAsia" w:asciiTheme="minorEastAsia" w:hAnsiTheme="minorEastAsia" w:eastAsiaTheme="minorEastAsia"/>
          <w:sz w:val="24"/>
        </w:rPr>
        <w:t>授权</w:t>
      </w:r>
      <w:r>
        <w:rPr>
          <w:rFonts w:hint="eastAsia" w:hAnsi="宋体" w:eastAsia="宋体"/>
          <w:sz w:val="24"/>
          <w:szCs w:val="28"/>
        </w:rPr>
        <w:t>书声明：</w:t>
      </w:r>
      <w:r>
        <w:rPr>
          <w:rFonts w:hint="eastAsia" w:hAnsi="宋体" w:eastAsia="宋体"/>
          <w:sz w:val="24"/>
          <w:szCs w:val="28"/>
          <w:u w:val="single"/>
        </w:rPr>
        <w:t xml:space="preserve">           </w:t>
      </w:r>
      <w:r>
        <w:rPr>
          <w:rFonts w:hint="eastAsia" w:hAnsi="宋体" w:eastAsia="宋体"/>
          <w:sz w:val="24"/>
          <w:szCs w:val="28"/>
        </w:rPr>
        <w:t>（投标人名称）授权</w:t>
      </w:r>
      <w:r>
        <w:rPr>
          <w:rFonts w:hint="eastAsia" w:hAnsi="宋体" w:eastAsia="宋体"/>
          <w:sz w:val="24"/>
          <w:szCs w:val="28"/>
          <w:u w:val="single"/>
        </w:rPr>
        <w:t xml:space="preserve">       </w:t>
      </w:r>
      <w:r>
        <w:rPr>
          <w:rFonts w:hint="eastAsia" w:hAnsi="宋体" w:eastAsia="宋体"/>
          <w:sz w:val="24"/>
          <w:szCs w:val="28"/>
        </w:rPr>
        <w:t>（投标人授权代表姓名）代表我方参加本项目</w:t>
      </w:r>
      <w:r>
        <w:rPr>
          <w:rFonts w:hint="eastAsia" w:hAnsi="宋体" w:eastAsia="宋体"/>
          <w:bCs/>
          <w:sz w:val="24"/>
          <w:szCs w:val="28"/>
        </w:rPr>
        <w:t>采购活动</w:t>
      </w:r>
      <w:r>
        <w:rPr>
          <w:rFonts w:hint="eastAsia" w:hAnsi="宋体" w:eastAsia="宋体"/>
          <w:sz w:val="24"/>
          <w:szCs w:val="28"/>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7D3BBD90">
      <w:pPr>
        <w:spacing w:line="360" w:lineRule="auto"/>
        <w:ind w:firstLine="435"/>
        <w:rPr>
          <w:rFonts w:hAnsi="宋体" w:eastAsia="宋体"/>
          <w:sz w:val="24"/>
          <w:szCs w:val="28"/>
        </w:rPr>
      </w:pPr>
      <w:r>
        <w:rPr>
          <w:rFonts w:hint="eastAsia" w:hAnsi="宋体" w:eastAsia="宋体"/>
          <w:sz w:val="24"/>
          <w:szCs w:val="28"/>
        </w:rPr>
        <w:t>本授权书自出具之日起生效。</w:t>
      </w:r>
    </w:p>
    <w:p w14:paraId="77E429E1">
      <w:pPr>
        <w:spacing w:line="360" w:lineRule="auto"/>
        <w:ind w:firstLine="435"/>
        <w:rPr>
          <w:rFonts w:hAnsi="宋体" w:eastAsia="宋体"/>
          <w:sz w:val="24"/>
        </w:rPr>
      </w:pPr>
      <w:r>
        <w:rPr>
          <w:rFonts w:hint="eastAsia" w:hAnsi="宋体" w:eastAsia="宋体"/>
          <w:sz w:val="24"/>
          <w:szCs w:val="28"/>
        </w:rPr>
        <w:t>授权</w:t>
      </w:r>
      <w:r>
        <w:rPr>
          <w:rFonts w:hint="eastAsia" w:asciiTheme="minorEastAsia" w:hAnsiTheme="minorEastAsia" w:eastAsiaTheme="minorEastAsia"/>
          <w:sz w:val="24"/>
        </w:rPr>
        <w:t>代表</w:t>
      </w:r>
      <w:r>
        <w:rPr>
          <w:rFonts w:hint="eastAsia" w:hAnsi="宋体" w:eastAsia="宋体"/>
          <w:sz w:val="24"/>
        </w:rPr>
        <w:t>身份证明复印件：</w:t>
      </w:r>
    </w:p>
    <w:p w14:paraId="0727A496">
      <w:pPr>
        <w:spacing w:line="360" w:lineRule="auto"/>
        <w:ind w:firstLine="435"/>
        <w:rPr>
          <w:rFonts w:asciiTheme="minorEastAsia" w:hAnsiTheme="minorEastAsia" w:eastAsiaTheme="minorEastAsia"/>
          <w:sz w:val="24"/>
        </w:rPr>
      </w:pPr>
    </w:p>
    <w:p w14:paraId="16E1CE1C">
      <w:pPr>
        <w:spacing w:line="360" w:lineRule="auto"/>
        <w:ind w:firstLine="435"/>
        <w:rPr>
          <w:rFonts w:asciiTheme="minorEastAsia" w:hAnsiTheme="minorEastAsia" w:eastAsiaTheme="minorEastAsia"/>
          <w:sz w:val="24"/>
        </w:rPr>
      </w:pPr>
    </w:p>
    <w:p w14:paraId="6FACC3D0">
      <w:pPr>
        <w:spacing w:line="360" w:lineRule="auto"/>
        <w:ind w:firstLine="435"/>
        <w:rPr>
          <w:rFonts w:asciiTheme="minorEastAsia" w:hAnsiTheme="minorEastAsia" w:eastAsiaTheme="minorEastAsia"/>
          <w:sz w:val="24"/>
        </w:rPr>
      </w:pPr>
    </w:p>
    <w:p w14:paraId="51E0F2E1">
      <w:pPr>
        <w:spacing w:line="360" w:lineRule="auto"/>
        <w:ind w:firstLine="435"/>
        <w:rPr>
          <w:rFonts w:hAnsi="宋体" w:eastAsia="宋体"/>
          <w:sz w:val="24"/>
          <w:szCs w:val="28"/>
          <w:u w:val="single"/>
          <w:lang w:val="zh-CN"/>
        </w:rPr>
      </w:pPr>
      <w:r>
        <w:rPr>
          <w:rFonts w:hint="eastAsia" w:hAnsi="宋体" w:eastAsia="宋体"/>
          <w:sz w:val="24"/>
          <w:szCs w:val="28"/>
        </w:rPr>
        <w:t>授权代表联系方式：</w:t>
      </w:r>
      <w:r>
        <w:rPr>
          <w:rFonts w:hint="eastAsia" w:hAnsi="宋体" w:eastAsia="宋体"/>
          <w:sz w:val="24"/>
          <w:szCs w:val="28"/>
          <w:u w:val="single"/>
        </w:rPr>
        <w:t xml:space="preserve">          （请填写手机号码）</w:t>
      </w:r>
    </w:p>
    <w:p w14:paraId="3DD2865E">
      <w:pPr>
        <w:spacing w:line="360" w:lineRule="auto"/>
        <w:ind w:firstLine="435"/>
        <w:rPr>
          <w:rFonts w:hAnsi="宋体" w:eastAsia="宋体"/>
          <w:sz w:val="24"/>
          <w:szCs w:val="28"/>
          <w:lang w:val="zh-CN"/>
        </w:rPr>
      </w:pPr>
    </w:p>
    <w:p w14:paraId="50799BD0">
      <w:pPr>
        <w:spacing w:line="360" w:lineRule="auto"/>
        <w:ind w:firstLine="435"/>
        <w:rPr>
          <w:rFonts w:ascii="宋体" w:hAnsi="宋体" w:eastAsia="宋体"/>
          <w:sz w:val="24"/>
          <w:szCs w:val="28"/>
        </w:rPr>
      </w:pPr>
      <w:r>
        <w:rPr>
          <w:rFonts w:hint="eastAsia" w:asciiTheme="minorEastAsia" w:hAnsiTheme="minorEastAsia" w:eastAsiaTheme="minorEastAsia"/>
          <w:sz w:val="24"/>
        </w:rPr>
        <w:t>特此</w:t>
      </w:r>
      <w:r>
        <w:rPr>
          <w:rFonts w:hint="eastAsia" w:ascii="宋体" w:hAnsi="宋体" w:eastAsia="宋体"/>
          <w:sz w:val="24"/>
          <w:szCs w:val="28"/>
        </w:rPr>
        <w:t>声明。</w:t>
      </w:r>
    </w:p>
    <w:p w14:paraId="645B6855">
      <w:pPr>
        <w:spacing w:line="360" w:lineRule="auto"/>
        <w:rPr>
          <w:rFonts w:ascii="宋体" w:hAnsi="宋体" w:eastAsia="宋体"/>
          <w:sz w:val="24"/>
          <w:szCs w:val="28"/>
        </w:rPr>
      </w:pPr>
    </w:p>
    <w:p w14:paraId="21BE62B1">
      <w:pPr>
        <w:spacing w:line="360" w:lineRule="auto"/>
        <w:ind w:firstLine="435"/>
        <w:jc w:val="center"/>
        <w:rPr>
          <w:rFonts w:ascii="宋体" w:hAnsi="宋体" w:eastAsia="宋体"/>
          <w:bCs/>
          <w:sz w:val="24"/>
          <w:szCs w:val="28"/>
        </w:rPr>
      </w:pPr>
      <w:r>
        <w:rPr>
          <w:rFonts w:hint="eastAsia" w:ascii="宋体" w:hAnsi="宋体" w:eastAsia="宋体"/>
          <w:bCs/>
          <w:sz w:val="24"/>
          <w:szCs w:val="28"/>
        </w:rPr>
        <w:t xml:space="preserve">                            投标人公章：</w:t>
      </w:r>
      <w:r>
        <w:rPr>
          <w:rFonts w:hint="eastAsia" w:ascii="宋体" w:hAnsi="宋体" w:eastAsia="宋体"/>
          <w:bCs/>
          <w:sz w:val="24"/>
          <w:szCs w:val="28"/>
          <w:u w:val="single"/>
        </w:rPr>
        <w:t xml:space="preserve">                    </w:t>
      </w:r>
    </w:p>
    <w:p w14:paraId="1FDCE3AA">
      <w:pPr>
        <w:spacing w:line="360" w:lineRule="auto"/>
        <w:ind w:firstLine="435"/>
        <w:jc w:val="center"/>
        <w:rPr>
          <w:rFonts w:ascii="宋体" w:hAnsi="宋体" w:eastAsia="宋体"/>
          <w:sz w:val="24"/>
          <w:szCs w:val="28"/>
        </w:rPr>
      </w:pPr>
      <w:r>
        <w:rPr>
          <w:rFonts w:hint="eastAsia" w:ascii="宋体" w:hAnsi="宋体" w:eastAsia="宋体"/>
          <w:sz w:val="24"/>
          <w:szCs w:val="28"/>
        </w:rPr>
        <w:t xml:space="preserve">                            日          期：</w:t>
      </w:r>
      <w:r>
        <w:rPr>
          <w:rFonts w:hint="eastAsia" w:ascii="宋体" w:hAnsi="宋体" w:eastAsia="宋体"/>
          <w:b/>
          <w:bCs/>
          <w:sz w:val="24"/>
          <w:szCs w:val="28"/>
          <w:u w:val="single"/>
        </w:rPr>
        <w:t xml:space="preserve">                    </w:t>
      </w:r>
    </w:p>
    <w:p w14:paraId="7816AF8B">
      <w:pPr>
        <w:spacing w:line="360" w:lineRule="auto"/>
        <w:ind w:firstLine="435"/>
        <w:rPr>
          <w:rFonts w:asciiTheme="minorEastAsia" w:hAnsiTheme="minorEastAsia" w:eastAsiaTheme="minorEastAsia"/>
          <w:sz w:val="24"/>
        </w:rPr>
      </w:pPr>
    </w:p>
    <w:p w14:paraId="19596FF1">
      <w:pPr>
        <w:spacing w:line="360" w:lineRule="auto"/>
        <w:ind w:firstLine="435"/>
        <w:rPr>
          <w:rFonts w:asciiTheme="minorEastAsia" w:hAnsiTheme="minorEastAsia" w:eastAsiaTheme="minorEastAsia"/>
          <w:sz w:val="24"/>
        </w:rPr>
      </w:pPr>
    </w:p>
    <w:p w14:paraId="1728418D">
      <w:pPr>
        <w:spacing w:line="360" w:lineRule="auto"/>
        <w:rPr>
          <w:rFonts w:asciiTheme="minorEastAsia" w:hAnsiTheme="minorEastAsia" w:eastAsiaTheme="minorEastAsia"/>
          <w:sz w:val="24"/>
        </w:rPr>
      </w:pPr>
      <w:r>
        <w:rPr>
          <w:rFonts w:hint="eastAsia" w:asciiTheme="minorEastAsia" w:hAnsiTheme="minorEastAsia" w:eastAsiaTheme="minorEastAsia"/>
          <w:sz w:val="24"/>
        </w:rPr>
        <w:t>注：</w:t>
      </w:r>
    </w:p>
    <w:p w14:paraId="7E677F42">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1.本项目只允许有唯一的投标人授权代表，提供身份证明复印件；</w:t>
      </w:r>
    </w:p>
    <w:p w14:paraId="6389FA4A">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2.法定代表人参加投标的无需提供授权书，提供身份证明复印件。</w:t>
      </w:r>
    </w:p>
    <w:p w14:paraId="3F53D7B4">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0E86E0AC">
      <w:pPr>
        <w:spacing w:line="360" w:lineRule="auto"/>
        <w:jc w:val="center"/>
        <w:outlineLvl w:val="1"/>
        <w:rPr>
          <w:rFonts w:asciiTheme="minorEastAsia" w:hAnsiTheme="minorEastAsia" w:eastAsiaTheme="minorEastAsia"/>
          <w:b/>
          <w:sz w:val="24"/>
        </w:rPr>
      </w:pPr>
      <w:bookmarkStart w:id="63" w:name="_Toc31991"/>
      <w:bookmarkStart w:id="64" w:name="_Toc6796"/>
      <w:r>
        <w:rPr>
          <w:rFonts w:hint="eastAsia" w:asciiTheme="minorEastAsia" w:hAnsiTheme="minorEastAsia" w:eastAsiaTheme="minorEastAsia"/>
          <w:b/>
          <w:sz w:val="24"/>
        </w:rPr>
        <w:t>五、投标分项报价表</w:t>
      </w:r>
      <w:bookmarkEnd w:id="63"/>
      <w:bookmarkEnd w:id="64"/>
    </w:p>
    <w:tbl>
      <w:tblPr>
        <w:tblStyle w:val="22"/>
        <w:tblW w:w="8217" w:type="dxa"/>
        <w:tblInd w:w="0" w:type="dxa"/>
        <w:tblLayout w:type="autofit"/>
        <w:tblCellMar>
          <w:top w:w="0" w:type="dxa"/>
          <w:left w:w="108" w:type="dxa"/>
          <w:bottom w:w="0" w:type="dxa"/>
          <w:right w:w="108" w:type="dxa"/>
        </w:tblCellMar>
      </w:tblPr>
      <w:tblGrid>
        <w:gridCol w:w="1413"/>
        <w:gridCol w:w="1701"/>
        <w:gridCol w:w="1356"/>
        <w:gridCol w:w="1337"/>
        <w:gridCol w:w="2410"/>
      </w:tblGrid>
      <w:tr w14:paraId="3BA43A65">
        <w:tblPrEx>
          <w:tblCellMar>
            <w:top w:w="0" w:type="dxa"/>
            <w:left w:w="108" w:type="dxa"/>
            <w:bottom w:w="0" w:type="dxa"/>
            <w:right w:w="108" w:type="dxa"/>
          </w:tblCellMar>
        </w:tblPrEx>
        <w:trPr>
          <w:wAfter w:w="0" w:type="auto"/>
          <w:trHeight w:val="285" w:hRule="atLeast"/>
        </w:trPr>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14:paraId="7A4E871E">
            <w:pPr>
              <w:widowControl/>
              <w:jc w:val="lef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明细</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31A282AF">
            <w:pPr>
              <w:widowControl/>
              <w:jc w:val="lef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制作要求</w:t>
            </w: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14:paraId="427C45EC">
            <w:pPr>
              <w:widowControl/>
              <w:jc w:val="lef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单价（元）</w:t>
            </w:r>
          </w:p>
        </w:tc>
        <w:tc>
          <w:tcPr>
            <w:tcW w:w="1337" w:type="dxa"/>
            <w:tcBorders>
              <w:top w:val="single" w:color="auto" w:sz="4" w:space="0"/>
              <w:left w:val="single" w:color="auto" w:sz="4" w:space="0"/>
              <w:bottom w:val="single" w:color="auto" w:sz="4" w:space="0"/>
              <w:right w:val="single" w:color="auto" w:sz="4" w:space="0"/>
            </w:tcBorders>
            <w:shd w:val="clear" w:color="auto" w:fill="auto"/>
            <w:vAlign w:val="center"/>
          </w:tcPr>
          <w:p w14:paraId="34933A1D">
            <w:pPr>
              <w:widowControl/>
              <w:jc w:val="lef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单位</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0F293A0A">
            <w:pPr>
              <w:widowControl/>
              <w:jc w:val="left"/>
              <w:rPr>
                <w:rFonts w:hint="default" w:ascii="宋体" w:hAnsi="宋体" w:eastAsia="宋体" w:cs="宋体"/>
                <w:b/>
                <w:bCs/>
                <w:color w:val="000000"/>
                <w:kern w:val="0"/>
                <w:sz w:val="22"/>
                <w:szCs w:val="22"/>
                <w:lang w:val="en-US" w:eastAsia="zh-CN"/>
              </w:rPr>
            </w:pPr>
            <w:r>
              <w:rPr>
                <w:rFonts w:hint="eastAsia" w:ascii="宋体" w:hAnsi="宋体" w:eastAsia="宋体" w:cs="宋体"/>
                <w:b/>
                <w:bCs/>
                <w:color w:val="000000"/>
                <w:kern w:val="0"/>
                <w:sz w:val="22"/>
                <w:szCs w:val="22"/>
                <w:lang w:val="en-US" w:eastAsia="zh-CN"/>
              </w:rPr>
              <w:t>小计</w:t>
            </w:r>
          </w:p>
        </w:tc>
      </w:tr>
      <w:tr w14:paraId="5C3F9BC8">
        <w:tblPrEx>
          <w:tblCellMar>
            <w:top w:w="0" w:type="dxa"/>
            <w:left w:w="108" w:type="dxa"/>
            <w:bottom w:w="0" w:type="dxa"/>
            <w:right w:w="108" w:type="dxa"/>
          </w:tblCellMar>
        </w:tblPrEx>
        <w:trPr>
          <w:wAfter w:w="0" w:type="auto"/>
          <w:trHeight w:val="1080" w:hRule="atLeast"/>
        </w:trPr>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14:paraId="26610757">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借记卡常规制卡</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7363557E">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空白IC卡+印刷+封装+个人化</w:t>
            </w: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14:paraId="44D3A827">
            <w:pPr>
              <w:widowControl/>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lang w:eastAsia="zh-CN"/>
              </w:rPr>
              <w:t>￥</w:t>
            </w:r>
          </w:p>
        </w:tc>
        <w:tc>
          <w:tcPr>
            <w:tcW w:w="1337" w:type="dxa"/>
            <w:tcBorders>
              <w:top w:val="single" w:color="auto" w:sz="4" w:space="0"/>
              <w:left w:val="single" w:color="auto" w:sz="4" w:space="0"/>
              <w:bottom w:val="single" w:color="auto" w:sz="4" w:space="0"/>
              <w:right w:val="single" w:color="auto" w:sz="4" w:space="0"/>
            </w:tcBorders>
            <w:shd w:val="clear" w:color="auto" w:fill="auto"/>
            <w:vAlign w:val="center"/>
          </w:tcPr>
          <w:p w14:paraId="06E6B0DF">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10000</w:t>
            </w:r>
            <w:r>
              <w:rPr>
                <w:rFonts w:hint="eastAsia" w:ascii="宋体" w:hAnsi="宋体" w:eastAsia="宋体" w:cs="宋体"/>
                <w:color w:val="000000"/>
                <w:kern w:val="0"/>
                <w:sz w:val="22"/>
                <w:szCs w:val="22"/>
              </w:rPr>
              <w:t>张</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5B1C002D">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lang w:eastAsia="zh-CN"/>
              </w:rPr>
              <w:t>￥</w:t>
            </w:r>
          </w:p>
        </w:tc>
      </w:tr>
      <w:tr w14:paraId="3E83EC59">
        <w:tblPrEx>
          <w:tblCellMar>
            <w:top w:w="0" w:type="dxa"/>
            <w:left w:w="108" w:type="dxa"/>
            <w:bottom w:w="0" w:type="dxa"/>
            <w:right w:w="108" w:type="dxa"/>
          </w:tblCellMar>
        </w:tblPrEx>
        <w:trPr>
          <w:wAfter w:w="0" w:type="auto"/>
          <w:trHeight w:val="1080" w:hRule="atLeast"/>
        </w:trPr>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14:paraId="0F4834E8">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借记卡同卡号换卡</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60225550">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空白IC卡+印刷+封装+个人化+邮寄</w:t>
            </w: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14:paraId="202FBE46">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lang w:eastAsia="zh-CN"/>
              </w:rPr>
              <w:t>￥</w:t>
            </w:r>
          </w:p>
        </w:tc>
        <w:tc>
          <w:tcPr>
            <w:tcW w:w="1337" w:type="dxa"/>
            <w:tcBorders>
              <w:top w:val="single" w:color="auto" w:sz="4" w:space="0"/>
              <w:left w:val="single" w:color="auto" w:sz="4" w:space="0"/>
              <w:bottom w:val="single" w:color="auto" w:sz="4" w:space="0"/>
              <w:right w:val="single" w:color="auto" w:sz="4" w:space="0"/>
            </w:tcBorders>
            <w:shd w:val="clear" w:color="auto" w:fill="auto"/>
            <w:vAlign w:val="center"/>
          </w:tcPr>
          <w:p w14:paraId="62A33F98">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100</w:t>
            </w:r>
            <w:r>
              <w:rPr>
                <w:rFonts w:hint="eastAsia" w:ascii="宋体" w:hAnsi="宋体" w:eastAsia="宋体" w:cs="宋体"/>
                <w:color w:val="000000"/>
                <w:kern w:val="0"/>
                <w:sz w:val="22"/>
                <w:szCs w:val="22"/>
              </w:rPr>
              <w:t>张</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2BCBA4F4">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lang w:eastAsia="zh-CN"/>
              </w:rPr>
              <w:t>￥</w:t>
            </w:r>
          </w:p>
        </w:tc>
      </w:tr>
      <w:tr w14:paraId="65C42CE0">
        <w:tblPrEx>
          <w:tblCellMar>
            <w:top w:w="0" w:type="dxa"/>
            <w:left w:w="108" w:type="dxa"/>
            <w:bottom w:w="0" w:type="dxa"/>
            <w:right w:w="108" w:type="dxa"/>
          </w:tblCellMar>
        </w:tblPrEx>
        <w:trPr>
          <w:wAfter w:w="0" w:type="auto"/>
          <w:trHeight w:val="540" w:hRule="atLeast"/>
        </w:trPr>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14:paraId="660EE5A6">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密码信封</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648D10E8">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印刷+个人化</w:t>
            </w: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14:paraId="12CE7AF0">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lang w:eastAsia="zh-CN"/>
              </w:rPr>
              <w:t>￥</w:t>
            </w:r>
          </w:p>
        </w:tc>
        <w:tc>
          <w:tcPr>
            <w:tcW w:w="1337" w:type="dxa"/>
            <w:tcBorders>
              <w:top w:val="single" w:color="auto" w:sz="4" w:space="0"/>
              <w:left w:val="single" w:color="auto" w:sz="4" w:space="0"/>
              <w:bottom w:val="single" w:color="auto" w:sz="4" w:space="0"/>
              <w:right w:val="single" w:color="auto" w:sz="4" w:space="0"/>
            </w:tcBorders>
            <w:shd w:val="clear" w:color="auto" w:fill="auto"/>
            <w:vAlign w:val="center"/>
          </w:tcPr>
          <w:p w14:paraId="164EF6D2">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50</w:t>
            </w:r>
            <w:r>
              <w:rPr>
                <w:rFonts w:hint="eastAsia" w:ascii="宋体" w:hAnsi="宋体" w:eastAsia="宋体" w:cs="宋体"/>
                <w:color w:val="000000"/>
                <w:kern w:val="0"/>
                <w:sz w:val="22"/>
                <w:szCs w:val="22"/>
              </w:rPr>
              <w:t>个</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6E5FA184">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lang w:eastAsia="zh-CN"/>
              </w:rPr>
              <w:t>￥</w:t>
            </w:r>
          </w:p>
        </w:tc>
      </w:tr>
      <w:tr w14:paraId="525FC3E7">
        <w:tblPrEx>
          <w:tblCellMar>
            <w:top w:w="0" w:type="dxa"/>
            <w:left w:w="108" w:type="dxa"/>
            <w:bottom w:w="0" w:type="dxa"/>
            <w:right w:w="108" w:type="dxa"/>
          </w:tblCellMar>
        </w:tblPrEx>
        <w:trPr>
          <w:wAfter w:w="0" w:type="auto"/>
          <w:trHeight w:val="427" w:hRule="atLeast"/>
        </w:trPr>
        <w:tc>
          <w:tcPr>
            <w:tcW w:w="141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1FA8B2E">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特殊工艺卡附加</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73BA3C93">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立金</w:t>
            </w: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14:paraId="4AB2BD93">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lang w:eastAsia="zh-CN"/>
              </w:rPr>
              <w:t>￥</w:t>
            </w:r>
          </w:p>
        </w:tc>
        <w:tc>
          <w:tcPr>
            <w:tcW w:w="1337" w:type="dxa"/>
            <w:tcBorders>
              <w:top w:val="single" w:color="auto" w:sz="4" w:space="0"/>
              <w:left w:val="single" w:color="auto" w:sz="4" w:space="0"/>
              <w:bottom w:val="single" w:color="auto" w:sz="4" w:space="0"/>
              <w:right w:val="single" w:color="auto" w:sz="4" w:space="0"/>
            </w:tcBorders>
            <w:shd w:val="clear" w:color="auto" w:fill="auto"/>
            <w:vAlign w:val="center"/>
          </w:tcPr>
          <w:p w14:paraId="461F9914">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100</w:t>
            </w:r>
            <w:r>
              <w:rPr>
                <w:rFonts w:hint="eastAsia" w:ascii="宋体" w:hAnsi="宋体" w:eastAsia="宋体" w:cs="宋体"/>
                <w:color w:val="000000"/>
                <w:kern w:val="0"/>
                <w:sz w:val="22"/>
                <w:szCs w:val="22"/>
              </w:rPr>
              <w:t>张</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45406497">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lang w:eastAsia="zh-CN"/>
              </w:rPr>
              <w:t>￥</w:t>
            </w:r>
          </w:p>
        </w:tc>
      </w:tr>
      <w:tr w14:paraId="0DECC164">
        <w:tblPrEx>
          <w:tblCellMar>
            <w:top w:w="0" w:type="dxa"/>
            <w:left w:w="108" w:type="dxa"/>
            <w:bottom w:w="0" w:type="dxa"/>
            <w:right w:w="108" w:type="dxa"/>
          </w:tblCellMar>
        </w:tblPrEx>
        <w:trPr>
          <w:wAfter w:w="0" w:type="auto"/>
          <w:trHeight w:val="452" w:hRule="atLeast"/>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EEB66F6">
            <w:pPr>
              <w:widowControl/>
              <w:jc w:val="left"/>
              <w:rPr>
                <w:rFonts w:ascii="宋体" w:hAnsi="宋体" w:eastAsia="宋体" w:cs="宋体"/>
                <w:color w:val="000000"/>
                <w:kern w:val="0"/>
                <w:sz w:val="22"/>
                <w:szCs w:val="22"/>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67D9B060">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烫印</w:t>
            </w: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14:paraId="255037E1">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lang w:eastAsia="zh-CN"/>
              </w:rPr>
              <w:t>￥</w:t>
            </w:r>
          </w:p>
        </w:tc>
        <w:tc>
          <w:tcPr>
            <w:tcW w:w="1337" w:type="dxa"/>
            <w:tcBorders>
              <w:top w:val="single" w:color="auto" w:sz="4" w:space="0"/>
              <w:left w:val="single" w:color="auto" w:sz="4" w:space="0"/>
              <w:bottom w:val="single" w:color="auto" w:sz="4" w:space="0"/>
              <w:right w:val="single" w:color="auto" w:sz="4" w:space="0"/>
            </w:tcBorders>
            <w:shd w:val="clear" w:color="auto" w:fill="auto"/>
            <w:vAlign w:val="center"/>
          </w:tcPr>
          <w:p w14:paraId="117C86E3">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100</w:t>
            </w:r>
            <w:r>
              <w:rPr>
                <w:rFonts w:hint="eastAsia" w:ascii="宋体" w:hAnsi="宋体" w:eastAsia="宋体" w:cs="宋体"/>
                <w:color w:val="000000"/>
                <w:kern w:val="0"/>
                <w:sz w:val="22"/>
                <w:szCs w:val="22"/>
              </w:rPr>
              <w:t>张</w:t>
            </w:r>
          </w:p>
        </w:tc>
        <w:tc>
          <w:tcPr>
            <w:tcW w:w="2410" w:type="dxa"/>
            <w:tcBorders>
              <w:top w:val="single" w:color="auto" w:sz="4" w:space="0"/>
              <w:left w:val="single" w:color="auto" w:sz="4" w:space="0"/>
              <w:bottom w:val="single" w:color="auto" w:sz="4" w:space="0"/>
              <w:right w:val="single" w:color="auto" w:sz="4" w:space="0"/>
            </w:tcBorders>
            <w:vAlign w:val="center"/>
          </w:tcPr>
          <w:p w14:paraId="714F6543">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lang w:eastAsia="zh-CN"/>
              </w:rPr>
              <w:t>￥</w:t>
            </w:r>
          </w:p>
        </w:tc>
      </w:tr>
      <w:tr w14:paraId="5C4217C6">
        <w:tblPrEx>
          <w:tblCellMar>
            <w:top w:w="0" w:type="dxa"/>
            <w:left w:w="108" w:type="dxa"/>
            <w:bottom w:w="0" w:type="dxa"/>
            <w:right w:w="108" w:type="dxa"/>
          </w:tblCellMar>
        </w:tblPrEx>
        <w:trPr>
          <w:wAfter w:w="0" w:type="auto"/>
          <w:trHeight w:val="540" w:hRule="atLeast"/>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C3CB28">
            <w:pPr>
              <w:widowControl/>
              <w:jc w:val="left"/>
              <w:rPr>
                <w:rFonts w:ascii="宋体" w:hAnsi="宋体" w:eastAsia="宋体" w:cs="宋体"/>
                <w:color w:val="000000"/>
                <w:kern w:val="0"/>
                <w:sz w:val="22"/>
                <w:szCs w:val="22"/>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48558F5A">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彩色PVC材料</w:t>
            </w: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14:paraId="15695706">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lang w:eastAsia="zh-CN"/>
              </w:rPr>
              <w:t>￥</w:t>
            </w:r>
          </w:p>
        </w:tc>
        <w:tc>
          <w:tcPr>
            <w:tcW w:w="1337" w:type="dxa"/>
            <w:tcBorders>
              <w:top w:val="single" w:color="auto" w:sz="4" w:space="0"/>
              <w:left w:val="single" w:color="auto" w:sz="4" w:space="0"/>
              <w:bottom w:val="single" w:color="auto" w:sz="4" w:space="0"/>
              <w:right w:val="single" w:color="auto" w:sz="4" w:space="0"/>
            </w:tcBorders>
            <w:shd w:val="clear" w:color="auto" w:fill="auto"/>
            <w:vAlign w:val="center"/>
          </w:tcPr>
          <w:p w14:paraId="053C472B">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100</w:t>
            </w:r>
            <w:r>
              <w:rPr>
                <w:rFonts w:hint="eastAsia" w:ascii="宋体" w:hAnsi="宋体" w:eastAsia="宋体" w:cs="宋体"/>
                <w:color w:val="000000"/>
                <w:kern w:val="0"/>
                <w:sz w:val="22"/>
                <w:szCs w:val="22"/>
              </w:rPr>
              <w:t>张</w:t>
            </w:r>
          </w:p>
        </w:tc>
        <w:tc>
          <w:tcPr>
            <w:tcW w:w="2410" w:type="dxa"/>
            <w:tcBorders>
              <w:top w:val="single" w:color="auto" w:sz="4" w:space="0"/>
              <w:left w:val="single" w:color="auto" w:sz="4" w:space="0"/>
              <w:bottom w:val="single" w:color="auto" w:sz="4" w:space="0"/>
              <w:right w:val="single" w:color="auto" w:sz="4" w:space="0"/>
            </w:tcBorders>
            <w:vAlign w:val="center"/>
          </w:tcPr>
          <w:p w14:paraId="7482E2C2">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lang w:eastAsia="zh-CN"/>
              </w:rPr>
              <w:t>￥</w:t>
            </w:r>
          </w:p>
        </w:tc>
      </w:tr>
      <w:tr w14:paraId="635DB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9" w:hRule="atLeast"/>
          <w:jc w:val="center"/>
        </w:trPr>
        <w:tc>
          <w:tcPr>
            <w:tcW w:w="3114" w:type="dxa"/>
            <w:gridSpan w:val="2"/>
            <w:tcBorders>
              <w:top w:val="single" w:color="auto" w:sz="4" w:space="0"/>
              <w:left w:val="single" w:color="auto" w:sz="4" w:space="0"/>
              <w:right w:val="single" w:color="auto" w:sz="4" w:space="0"/>
            </w:tcBorders>
            <w:vAlign w:val="center"/>
          </w:tcPr>
          <w:p w14:paraId="5700A67E">
            <w:pPr>
              <w:spacing w:line="360" w:lineRule="exact"/>
              <w:jc w:val="center"/>
              <w:rPr>
                <w:rFonts w:asciiTheme="minorEastAsia" w:hAnsiTheme="minorEastAsia" w:eastAsiaTheme="minorEastAsia"/>
                <w:b/>
                <w:sz w:val="24"/>
              </w:rPr>
            </w:pPr>
            <w:r>
              <w:rPr>
                <w:rFonts w:hint="eastAsia" w:asciiTheme="minorEastAsia" w:hAnsiTheme="minorEastAsia" w:eastAsiaTheme="minorEastAsia"/>
                <w:b/>
                <w:sz w:val="24"/>
              </w:rPr>
              <w:t>投标报价</w:t>
            </w:r>
          </w:p>
        </w:tc>
        <w:tc>
          <w:tcPr>
            <w:tcW w:w="5103" w:type="dxa"/>
            <w:gridSpan w:val="3"/>
            <w:tcBorders>
              <w:top w:val="single" w:color="auto" w:sz="4" w:space="0"/>
              <w:left w:val="single" w:color="auto" w:sz="4" w:space="0"/>
              <w:right w:val="single" w:color="auto" w:sz="4" w:space="0"/>
            </w:tcBorders>
            <w:vAlign w:val="center"/>
          </w:tcPr>
          <w:p w14:paraId="195BA2F0">
            <w:pPr>
              <w:snapToGrid w:val="0"/>
              <w:spacing w:line="360" w:lineRule="auto"/>
              <w:jc w:val="left"/>
              <w:rPr>
                <w:rFonts w:ascii="宋体" w:hAnsi="宋体" w:eastAsia="宋体" w:cs="宋体"/>
                <w:bCs/>
                <w:sz w:val="24"/>
                <w:szCs w:val="24"/>
                <w:u w:val="single"/>
              </w:rPr>
            </w:pPr>
            <w:r>
              <w:rPr>
                <w:rFonts w:hint="eastAsia" w:ascii="宋体" w:hAnsi="宋体" w:eastAsia="宋体" w:cs="宋体"/>
                <w:bCs/>
                <w:sz w:val="24"/>
                <w:szCs w:val="24"/>
              </w:rPr>
              <w:t>大写：</w:t>
            </w:r>
            <w:r>
              <w:rPr>
                <w:rFonts w:hint="eastAsia" w:ascii="宋体" w:hAnsi="宋体" w:eastAsia="宋体" w:cs="宋体"/>
                <w:bCs/>
                <w:sz w:val="24"/>
                <w:szCs w:val="24"/>
                <w:u w:val="single"/>
              </w:rPr>
              <w:t xml:space="preserve">                     </w:t>
            </w:r>
          </w:p>
          <w:p w14:paraId="27EC6760">
            <w:pPr>
              <w:spacing w:line="360" w:lineRule="auto"/>
              <w:ind w:right="-670"/>
              <w:rPr>
                <w:rFonts w:asciiTheme="minorEastAsia" w:hAnsiTheme="minorEastAsia" w:eastAsiaTheme="minorEastAsia"/>
                <w:sz w:val="24"/>
              </w:rPr>
            </w:pPr>
            <w:r>
              <w:rPr>
                <w:rFonts w:hint="eastAsia" w:ascii="宋体" w:hAnsi="宋体" w:eastAsia="宋体" w:cs="宋体"/>
                <w:bCs/>
                <w:sz w:val="24"/>
                <w:szCs w:val="24"/>
              </w:rPr>
              <w:t>小写：</w:t>
            </w:r>
            <w:r>
              <w:rPr>
                <w:rFonts w:hint="eastAsia" w:ascii="宋体" w:hAnsi="宋体" w:eastAsia="宋体" w:cs="宋体"/>
                <w:bCs/>
                <w:sz w:val="24"/>
                <w:szCs w:val="24"/>
                <w:u w:val="single"/>
              </w:rPr>
              <w:t xml:space="preserve">                     </w:t>
            </w:r>
          </w:p>
        </w:tc>
      </w:tr>
    </w:tbl>
    <w:p w14:paraId="2F8AF544">
      <w:pPr>
        <w:spacing w:line="360" w:lineRule="auto"/>
        <w:ind w:firstLine="435"/>
        <w:rPr>
          <w:rFonts w:asciiTheme="minorEastAsia" w:hAnsiTheme="minorEastAsia" w:eastAsiaTheme="minorEastAsia"/>
          <w:b/>
          <w:bCs w:val="0"/>
          <w:sz w:val="24"/>
        </w:rPr>
      </w:pPr>
    </w:p>
    <w:p w14:paraId="7A941BED">
      <w:pPr>
        <w:spacing w:line="360" w:lineRule="auto"/>
        <w:ind w:firstLine="4800" w:firstLineChars="2000"/>
        <w:rPr>
          <w:rFonts w:ascii="宋体" w:hAnsi="宋体" w:eastAsia="宋体"/>
          <w:sz w:val="24"/>
          <w:u w:val="single"/>
        </w:rPr>
      </w:pPr>
      <w:r>
        <w:rPr>
          <w:rFonts w:hint="eastAsia" w:ascii="宋体" w:hAnsi="宋体" w:eastAsia="宋体"/>
          <w:sz w:val="24"/>
        </w:rPr>
        <w:t>投标人公章：</w:t>
      </w:r>
      <w:r>
        <w:rPr>
          <w:rFonts w:hint="eastAsia" w:ascii="宋体" w:hAnsi="宋体" w:eastAsia="宋体"/>
          <w:sz w:val="24"/>
          <w:u w:val="single"/>
        </w:rPr>
        <w:t xml:space="preserve">             </w:t>
      </w:r>
    </w:p>
    <w:p w14:paraId="1F004D4F">
      <w:pPr>
        <w:spacing w:line="360" w:lineRule="auto"/>
        <w:ind w:firstLine="4800" w:firstLineChars="2000"/>
        <w:rPr>
          <w:rFonts w:ascii="宋体" w:hAnsi="宋体" w:eastAsia="宋体"/>
          <w:sz w:val="24"/>
          <w:u w:val="single"/>
        </w:rPr>
      </w:pPr>
      <w:r>
        <w:rPr>
          <w:rFonts w:hint="eastAsia" w:ascii="宋体" w:hAnsi="宋体" w:eastAsia="宋体"/>
          <w:sz w:val="24"/>
        </w:rPr>
        <w:t>日      期：</w:t>
      </w:r>
      <w:r>
        <w:rPr>
          <w:rFonts w:hint="eastAsia" w:ascii="宋体" w:hAnsi="宋体" w:eastAsia="宋体"/>
          <w:sz w:val="24"/>
          <w:u w:val="single"/>
        </w:rPr>
        <w:t xml:space="preserve">             </w:t>
      </w:r>
    </w:p>
    <w:p w14:paraId="69A28D10">
      <w:pPr>
        <w:adjustRightInd w:val="0"/>
        <w:snapToGrid w:val="0"/>
        <w:spacing w:line="360" w:lineRule="auto"/>
        <w:rPr>
          <w:rFonts w:asciiTheme="minorEastAsia" w:hAnsiTheme="minorEastAsia" w:eastAsiaTheme="minorEastAsia"/>
          <w:b/>
          <w:bCs/>
          <w:sz w:val="24"/>
          <w:szCs w:val="28"/>
        </w:rPr>
      </w:pPr>
    </w:p>
    <w:p w14:paraId="1C0A95F3">
      <w:pPr>
        <w:adjustRightInd w:val="0"/>
        <w:snapToGrid w:val="0"/>
        <w:spacing w:line="360" w:lineRule="auto"/>
        <w:rPr>
          <w:rFonts w:asciiTheme="minorEastAsia" w:hAnsiTheme="minorEastAsia" w:eastAsiaTheme="minorEastAsia"/>
          <w:b/>
          <w:bCs/>
          <w:sz w:val="24"/>
          <w:szCs w:val="28"/>
        </w:rPr>
      </w:pPr>
      <w:r>
        <w:rPr>
          <w:rFonts w:hint="eastAsia" w:asciiTheme="minorEastAsia" w:hAnsiTheme="minorEastAsia" w:eastAsiaTheme="minorEastAsia"/>
          <w:b/>
          <w:bCs/>
          <w:sz w:val="24"/>
          <w:szCs w:val="28"/>
        </w:rPr>
        <w:t>注：</w:t>
      </w:r>
    </w:p>
    <w:p w14:paraId="4A454E3E">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表中所列货物为对应本项目需求的全部货物及所需附件购置费、包装费、运输费、人工费、保险费、安装调试费、各种税费、资料费、售后服务费及完成项目应有的全部费用。如有漏项或缺项，投标人承担全部责任。</w:t>
      </w:r>
    </w:p>
    <w:p w14:paraId="5FD78E24">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6B74F150">
      <w:pPr>
        <w:spacing w:line="360" w:lineRule="auto"/>
        <w:jc w:val="center"/>
        <w:outlineLvl w:val="1"/>
        <w:rPr>
          <w:rFonts w:asciiTheme="minorEastAsia" w:hAnsiTheme="minorEastAsia" w:eastAsiaTheme="minorEastAsia"/>
          <w:b/>
          <w:sz w:val="24"/>
        </w:rPr>
      </w:pPr>
      <w:bookmarkStart w:id="65" w:name="_Toc11940"/>
      <w:bookmarkStart w:id="66" w:name="_Toc20329"/>
      <w:r>
        <w:rPr>
          <w:rFonts w:hint="eastAsia" w:asciiTheme="minorEastAsia" w:hAnsiTheme="minorEastAsia" w:eastAsiaTheme="minorEastAsia"/>
          <w:b/>
          <w:sz w:val="24"/>
        </w:rPr>
        <w:t>六、投标响应表</w:t>
      </w:r>
      <w:bookmarkEnd w:id="65"/>
      <w:bookmarkEnd w:id="66"/>
    </w:p>
    <w:p w14:paraId="005A7C08">
      <w:pPr>
        <w:spacing w:line="360" w:lineRule="auto"/>
        <w:ind w:firstLine="435"/>
        <w:outlineLvl w:val="2"/>
        <w:rPr>
          <w:rFonts w:asciiTheme="minorEastAsia" w:hAnsiTheme="minorEastAsia" w:eastAsiaTheme="minorEastAsia"/>
          <w:b/>
          <w:sz w:val="24"/>
        </w:rPr>
      </w:pPr>
      <w:r>
        <w:rPr>
          <w:rFonts w:hint="eastAsia" w:asciiTheme="minorEastAsia" w:hAnsiTheme="minorEastAsia" w:eastAsiaTheme="minorEastAsia"/>
          <w:b/>
          <w:sz w:val="24"/>
        </w:rPr>
        <w:t>6</w:t>
      </w:r>
      <w:r>
        <w:rPr>
          <w:rFonts w:asciiTheme="minorEastAsia" w:hAnsiTheme="minorEastAsia" w:eastAsiaTheme="minorEastAsia"/>
          <w:b/>
          <w:sz w:val="24"/>
        </w:rPr>
        <w:t>.1</w:t>
      </w:r>
      <w:r>
        <w:rPr>
          <w:rFonts w:hint="eastAsia" w:asciiTheme="minorEastAsia" w:hAnsiTheme="minorEastAsia" w:eastAsiaTheme="minorEastAsia"/>
          <w:b/>
          <w:sz w:val="24"/>
        </w:rPr>
        <w:t>商务响应表</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1916"/>
        <w:gridCol w:w="2499"/>
        <w:gridCol w:w="2575"/>
        <w:gridCol w:w="810"/>
      </w:tblGrid>
      <w:tr w14:paraId="32919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2A54FD06">
            <w:pPr>
              <w:pStyle w:val="11"/>
              <w:jc w:val="center"/>
              <w:rPr>
                <w:rFonts w:cs="Wingdings" w:asciiTheme="minorEastAsia" w:hAnsiTheme="minorEastAsia"/>
                <w:b/>
                <w:sz w:val="24"/>
              </w:rPr>
            </w:pPr>
            <w:r>
              <w:rPr>
                <w:rFonts w:hint="eastAsia" w:cs="Wingdings" w:asciiTheme="minorEastAsia" w:hAnsiTheme="minorEastAsia"/>
                <w:b/>
                <w:sz w:val="24"/>
              </w:rPr>
              <w:t>序号</w:t>
            </w:r>
          </w:p>
        </w:tc>
        <w:tc>
          <w:tcPr>
            <w:tcW w:w="1124" w:type="pct"/>
            <w:vAlign w:val="center"/>
          </w:tcPr>
          <w:p w14:paraId="197B98EA">
            <w:pPr>
              <w:pStyle w:val="11"/>
              <w:jc w:val="center"/>
              <w:rPr>
                <w:rFonts w:cs="Wingdings" w:asciiTheme="minorEastAsia" w:hAnsiTheme="minorEastAsia"/>
                <w:b/>
                <w:sz w:val="24"/>
              </w:rPr>
            </w:pPr>
            <w:r>
              <w:rPr>
                <w:rFonts w:hint="eastAsia" w:asciiTheme="minorEastAsia" w:hAnsiTheme="minorEastAsia"/>
                <w:b/>
                <w:bCs/>
                <w:sz w:val="24"/>
                <w:szCs w:val="24"/>
              </w:rPr>
              <w:t>商务条款</w:t>
            </w:r>
          </w:p>
        </w:tc>
        <w:tc>
          <w:tcPr>
            <w:tcW w:w="1466" w:type="pct"/>
            <w:vAlign w:val="center"/>
          </w:tcPr>
          <w:p w14:paraId="35A600AE">
            <w:pPr>
              <w:pStyle w:val="11"/>
              <w:jc w:val="center"/>
              <w:rPr>
                <w:rFonts w:cs="Wingdings" w:asciiTheme="minorEastAsia" w:hAnsiTheme="minorEastAsia"/>
                <w:b/>
                <w:sz w:val="24"/>
              </w:rPr>
            </w:pPr>
            <w:r>
              <w:rPr>
                <w:rFonts w:hint="eastAsia" w:cs="Wingdings" w:asciiTheme="minorEastAsia" w:hAnsiTheme="minorEastAsia"/>
                <w:b/>
                <w:sz w:val="24"/>
              </w:rPr>
              <w:t>招标文件要求</w:t>
            </w:r>
          </w:p>
        </w:tc>
        <w:tc>
          <w:tcPr>
            <w:tcW w:w="1511" w:type="pct"/>
            <w:vAlign w:val="center"/>
          </w:tcPr>
          <w:p w14:paraId="3C74EB7A">
            <w:pPr>
              <w:pStyle w:val="11"/>
              <w:jc w:val="center"/>
              <w:rPr>
                <w:rFonts w:cs="Wingdings" w:asciiTheme="minorEastAsia" w:hAnsiTheme="minorEastAsia"/>
                <w:b/>
                <w:sz w:val="24"/>
              </w:rPr>
            </w:pPr>
            <w:r>
              <w:rPr>
                <w:rFonts w:hint="eastAsia" w:cs="Wingdings" w:asciiTheme="minorEastAsia" w:hAnsiTheme="minorEastAsia"/>
                <w:b/>
                <w:sz w:val="24"/>
              </w:rPr>
              <w:t>投标人承诺</w:t>
            </w:r>
          </w:p>
        </w:tc>
        <w:tc>
          <w:tcPr>
            <w:tcW w:w="475" w:type="pct"/>
            <w:vAlign w:val="center"/>
          </w:tcPr>
          <w:p w14:paraId="6C7A801C">
            <w:pPr>
              <w:pStyle w:val="11"/>
              <w:jc w:val="center"/>
              <w:rPr>
                <w:rFonts w:cs="Wingdings" w:asciiTheme="minorEastAsia" w:hAnsiTheme="minorEastAsia"/>
                <w:b/>
                <w:sz w:val="24"/>
              </w:rPr>
            </w:pPr>
            <w:r>
              <w:rPr>
                <w:rFonts w:hint="eastAsia" w:cs="Wingdings" w:asciiTheme="minorEastAsia" w:hAnsiTheme="minorEastAsia"/>
                <w:b/>
                <w:sz w:val="24"/>
              </w:rPr>
              <w:t>偏离说明</w:t>
            </w:r>
          </w:p>
        </w:tc>
      </w:tr>
      <w:tr w14:paraId="187CF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161C7099">
            <w:pPr>
              <w:jc w:val="center"/>
              <w:rPr>
                <w:rFonts w:asciiTheme="minorEastAsia" w:hAnsiTheme="minorEastAsia" w:eastAsiaTheme="minorEastAsia"/>
                <w:sz w:val="24"/>
              </w:rPr>
            </w:pPr>
            <w:r>
              <w:rPr>
                <w:rFonts w:asciiTheme="minorEastAsia" w:hAnsiTheme="minorEastAsia" w:eastAsiaTheme="minorEastAsia"/>
                <w:sz w:val="24"/>
              </w:rPr>
              <w:t>1</w:t>
            </w:r>
          </w:p>
        </w:tc>
        <w:tc>
          <w:tcPr>
            <w:tcW w:w="1124" w:type="pct"/>
            <w:vAlign w:val="center"/>
          </w:tcPr>
          <w:p w14:paraId="5C186690">
            <w:pPr>
              <w:jc w:val="center"/>
              <w:rPr>
                <w:rFonts w:ascii="宋体" w:hAnsi="宋体" w:eastAsia="宋体"/>
                <w:sz w:val="24"/>
              </w:rPr>
            </w:pPr>
            <w:r>
              <w:rPr>
                <w:rFonts w:asciiTheme="minorEastAsia" w:hAnsiTheme="minorEastAsia" w:eastAsiaTheme="minorEastAsia"/>
                <w:sz w:val="24"/>
              </w:rPr>
              <w:t>付款方式</w:t>
            </w:r>
          </w:p>
        </w:tc>
        <w:tc>
          <w:tcPr>
            <w:tcW w:w="1466" w:type="pct"/>
            <w:vAlign w:val="center"/>
          </w:tcPr>
          <w:p w14:paraId="2F237902">
            <w:pPr>
              <w:jc w:val="center"/>
              <w:rPr>
                <w:rFonts w:ascii="宋体" w:hAnsi="宋体" w:eastAsia="宋体"/>
                <w:sz w:val="24"/>
              </w:rPr>
            </w:pPr>
            <w:r>
              <w:rPr>
                <w:rFonts w:hint="eastAsia" w:ascii="宋体" w:hAnsi="宋体" w:eastAsia="宋体"/>
                <w:sz w:val="24"/>
              </w:rPr>
              <w:t>合同签订明确金融</w:t>
            </w:r>
            <w:r>
              <w:rPr>
                <w:rFonts w:ascii="宋体" w:hAnsi="宋体" w:eastAsia="宋体"/>
                <w:sz w:val="24"/>
              </w:rPr>
              <w:t>IC借记卡制卡及个人化服务内容与单价</w:t>
            </w:r>
            <w:r>
              <w:rPr>
                <w:rFonts w:hint="eastAsia" w:ascii="宋体" w:hAnsi="宋体" w:eastAsia="宋体"/>
                <w:sz w:val="24"/>
              </w:rPr>
              <w:t>，按订单完成供货、验收合格后一次性付清订单款项。</w:t>
            </w:r>
          </w:p>
        </w:tc>
        <w:tc>
          <w:tcPr>
            <w:tcW w:w="1511" w:type="pct"/>
            <w:vAlign w:val="center"/>
          </w:tcPr>
          <w:p w14:paraId="7EE5FB45">
            <w:pPr>
              <w:jc w:val="center"/>
              <w:rPr>
                <w:rFonts w:asciiTheme="minorEastAsia" w:hAnsiTheme="minorEastAsia" w:eastAsiaTheme="minorEastAsia"/>
                <w:sz w:val="24"/>
              </w:rPr>
            </w:pPr>
          </w:p>
        </w:tc>
        <w:tc>
          <w:tcPr>
            <w:tcW w:w="475" w:type="pct"/>
            <w:vAlign w:val="center"/>
          </w:tcPr>
          <w:p w14:paraId="57E57316">
            <w:pPr>
              <w:jc w:val="center"/>
              <w:rPr>
                <w:rFonts w:asciiTheme="minorEastAsia" w:hAnsiTheme="minorEastAsia" w:eastAsiaTheme="minorEastAsia"/>
                <w:sz w:val="24"/>
              </w:rPr>
            </w:pPr>
          </w:p>
        </w:tc>
      </w:tr>
      <w:tr w14:paraId="7F1B5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D3FE5EA">
            <w:pPr>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1124" w:type="pct"/>
            <w:vAlign w:val="center"/>
          </w:tcPr>
          <w:p w14:paraId="6763F8EE">
            <w:pPr>
              <w:jc w:val="center"/>
              <w:rPr>
                <w:rFonts w:ascii="宋体" w:hAnsi="宋体" w:eastAsia="宋体"/>
                <w:sz w:val="24"/>
              </w:rPr>
            </w:pPr>
            <w:r>
              <w:rPr>
                <w:rFonts w:hint="eastAsia" w:ascii="宋体" w:hAnsi="宋体" w:eastAsia="宋体"/>
                <w:sz w:val="24"/>
              </w:rPr>
              <w:t>供货及安装地点</w:t>
            </w:r>
          </w:p>
        </w:tc>
        <w:tc>
          <w:tcPr>
            <w:tcW w:w="1466" w:type="pct"/>
            <w:vAlign w:val="center"/>
          </w:tcPr>
          <w:p w14:paraId="0151A1C6">
            <w:pPr>
              <w:jc w:val="center"/>
              <w:rPr>
                <w:rFonts w:ascii="宋体" w:hAnsi="宋体" w:eastAsia="宋体"/>
                <w:sz w:val="24"/>
              </w:rPr>
            </w:pPr>
            <w:r>
              <w:rPr>
                <w:rFonts w:hint="eastAsia" w:ascii="宋体" w:hAnsi="宋体" w:eastAsia="宋体"/>
                <w:sz w:val="24"/>
              </w:rPr>
              <w:t>采购人指定地点</w:t>
            </w:r>
          </w:p>
        </w:tc>
        <w:tc>
          <w:tcPr>
            <w:tcW w:w="1511" w:type="pct"/>
            <w:vAlign w:val="center"/>
          </w:tcPr>
          <w:p w14:paraId="33B7DE34">
            <w:pPr>
              <w:jc w:val="center"/>
              <w:rPr>
                <w:rFonts w:asciiTheme="minorEastAsia" w:hAnsiTheme="minorEastAsia" w:eastAsiaTheme="minorEastAsia"/>
                <w:sz w:val="24"/>
              </w:rPr>
            </w:pPr>
          </w:p>
        </w:tc>
        <w:tc>
          <w:tcPr>
            <w:tcW w:w="475" w:type="pct"/>
            <w:vAlign w:val="center"/>
          </w:tcPr>
          <w:p w14:paraId="2FD4505A">
            <w:pPr>
              <w:jc w:val="center"/>
              <w:rPr>
                <w:rFonts w:asciiTheme="minorEastAsia" w:hAnsiTheme="minorEastAsia" w:eastAsiaTheme="minorEastAsia"/>
                <w:sz w:val="24"/>
              </w:rPr>
            </w:pPr>
          </w:p>
        </w:tc>
      </w:tr>
      <w:tr w14:paraId="67C63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578E8AA5">
            <w:pPr>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1124" w:type="pct"/>
            <w:vAlign w:val="center"/>
          </w:tcPr>
          <w:p w14:paraId="1269C6B8">
            <w:pPr>
              <w:jc w:val="center"/>
              <w:rPr>
                <w:rFonts w:ascii="宋体" w:hAnsi="宋体" w:eastAsia="宋体"/>
                <w:sz w:val="24"/>
              </w:rPr>
            </w:pPr>
            <w:r>
              <w:rPr>
                <w:rFonts w:hint="eastAsia" w:ascii="宋体" w:hAnsi="宋体" w:eastAsia="宋体"/>
                <w:sz w:val="24"/>
              </w:rPr>
              <w:t>供货及安装期限</w:t>
            </w:r>
          </w:p>
        </w:tc>
        <w:tc>
          <w:tcPr>
            <w:tcW w:w="1466" w:type="pct"/>
            <w:vAlign w:val="center"/>
          </w:tcPr>
          <w:p w14:paraId="7EF92E19">
            <w:pPr>
              <w:jc w:val="center"/>
              <w:rPr>
                <w:rFonts w:ascii="宋体" w:hAnsi="宋体" w:eastAsia="宋体"/>
                <w:sz w:val="24"/>
              </w:rPr>
            </w:pPr>
            <w:r>
              <w:rPr>
                <w:rFonts w:hint="eastAsia" w:ascii="宋体" w:hAnsi="宋体" w:eastAsia="宋体"/>
                <w:sz w:val="24"/>
              </w:rPr>
              <w:t>合同签订</w:t>
            </w:r>
            <w:r>
              <w:rPr>
                <w:rFonts w:ascii="宋体" w:hAnsi="宋体" w:eastAsia="宋体"/>
                <w:sz w:val="24"/>
              </w:rPr>
              <w:t>后，</w:t>
            </w:r>
            <w:r>
              <w:rPr>
                <w:rFonts w:hint="eastAsia" w:ascii="宋体" w:hAnsi="宋体" w:eastAsia="宋体"/>
                <w:sz w:val="24"/>
              </w:rPr>
              <w:t>根据订单，</w:t>
            </w:r>
            <w:r>
              <w:rPr>
                <w:rFonts w:ascii="宋体" w:hAnsi="宋体" w:eastAsia="宋体"/>
                <w:sz w:val="24"/>
              </w:rPr>
              <w:t>接采</w:t>
            </w:r>
            <w:r>
              <w:rPr>
                <w:rFonts w:hint="eastAsia" w:ascii="宋体" w:hAnsi="宋体" w:eastAsia="宋体"/>
                <w:sz w:val="24"/>
              </w:rPr>
              <w:t>购</w:t>
            </w:r>
            <w:r>
              <w:rPr>
                <w:rFonts w:ascii="宋体" w:hAnsi="宋体" w:eastAsia="宋体"/>
                <w:sz w:val="24"/>
              </w:rPr>
              <w:t>人</w:t>
            </w:r>
            <w:r>
              <w:rPr>
                <w:rFonts w:hint="eastAsia" w:ascii="宋体" w:hAnsi="宋体" w:eastAsia="宋体"/>
                <w:sz w:val="24"/>
              </w:rPr>
              <w:t>书</w:t>
            </w:r>
            <w:r>
              <w:rPr>
                <w:rFonts w:ascii="宋体" w:hAnsi="宋体" w:eastAsia="宋体"/>
                <w:sz w:val="24"/>
              </w:rPr>
              <w:t>面通知后</w:t>
            </w:r>
            <w:r>
              <w:rPr>
                <w:rFonts w:hint="eastAsia" w:ascii="宋体" w:hAnsi="宋体" w:eastAsia="宋体"/>
                <w:sz w:val="24"/>
              </w:rPr>
              <w:t>3</w:t>
            </w:r>
            <w:r>
              <w:rPr>
                <w:rFonts w:ascii="宋体" w:hAnsi="宋体" w:eastAsia="宋体"/>
                <w:sz w:val="24"/>
              </w:rPr>
              <w:t>0</w:t>
            </w:r>
            <w:r>
              <w:rPr>
                <w:rFonts w:hint="eastAsia" w:ascii="宋体" w:hAnsi="宋体" w:eastAsia="宋体"/>
                <w:sz w:val="24"/>
              </w:rPr>
              <w:t>日历</w:t>
            </w:r>
            <w:r>
              <w:rPr>
                <w:rFonts w:ascii="宋体" w:hAnsi="宋体" w:eastAsia="宋体"/>
                <w:sz w:val="24"/>
              </w:rPr>
              <w:t>天完成交</w:t>
            </w:r>
            <w:r>
              <w:rPr>
                <w:rFonts w:hint="eastAsia" w:ascii="宋体" w:hAnsi="宋体" w:eastAsia="宋体"/>
                <w:sz w:val="24"/>
              </w:rPr>
              <w:t>货</w:t>
            </w:r>
          </w:p>
        </w:tc>
        <w:tc>
          <w:tcPr>
            <w:tcW w:w="1511" w:type="pct"/>
            <w:vAlign w:val="center"/>
          </w:tcPr>
          <w:p w14:paraId="386A6A32">
            <w:pPr>
              <w:pStyle w:val="38"/>
              <w:jc w:val="center"/>
              <w:rPr>
                <w:rFonts w:asciiTheme="minorEastAsia" w:hAnsiTheme="minorEastAsia" w:eastAsiaTheme="minorEastAsia"/>
              </w:rPr>
            </w:pPr>
          </w:p>
        </w:tc>
        <w:tc>
          <w:tcPr>
            <w:tcW w:w="475" w:type="pct"/>
            <w:vAlign w:val="center"/>
          </w:tcPr>
          <w:p w14:paraId="6578D668">
            <w:pPr>
              <w:jc w:val="center"/>
              <w:rPr>
                <w:rFonts w:asciiTheme="minorEastAsia" w:hAnsiTheme="minorEastAsia" w:eastAsiaTheme="minorEastAsia"/>
                <w:sz w:val="24"/>
              </w:rPr>
            </w:pPr>
          </w:p>
        </w:tc>
      </w:tr>
    </w:tbl>
    <w:p w14:paraId="0EEAA0C3">
      <w:pPr>
        <w:spacing w:line="360" w:lineRule="auto"/>
        <w:ind w:firstLine="435"/>
        <w:outlineLvl w:val="2"/>
        <w:rPr>
          <w:rFonts w:asciiTheme="minorEastAsia" w:hAnsiTheme="minorEastAsia" w:eastAsiaTheme="minorEastAsia"/>
          <w:b/>
          <w:sz w:val="24"/>
        </w:rPr>
      </w:pPr>
      <w:r>
        <w:rPr>
          <w:rFonts w:hint="eastAsia" w:asciiTheme="minorEastAsia" w:hAnsiTheme="minorEastAsia" w:eastAsiaTheme="minorEastAsia"/>
          <w:b/>
          <w:sz w:val="24"/>
        </w:rPr>
        <w:t>6</w:t>
      </w:r>
      <w:r>
        <w:rPr>
          <w:rFonts w:asciiTheme="minorEastAsia" w:hAnsiTheme="minorEastAsia" w:eastAsiaTheme="minorEastAsia"/>
          <w:b/>
          <w:sz w:val="24"/>
        </w:rPr>
        <w:t>.2</w:t>
      </w:r>
      <w:r>
        <w:rPr>
          <w:rFonts w:hint="eastAsia" w:asciiTheme="minorEastAsia" w:hAnsiTheme="minorEastAsia" w:eastAsiaTheme="minorEastAsia"/>
          <w:b/>
          <w:sz w:val="24"/>
        </w:rPr>
        <w:t>技术响应表</w:t>
      </w:r>
    </w:p>
    <w:tbl>
      <w:tblPr>
        <w:tblStyle w:val="22"/>
        <w:tblW w:w="9511" w:type="dxa"/>
        <w:tblInd w:w="-10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1"/>
        <w:gridCol w:w="1276"/>
        <w:gridCol w:w="2821"/>
        <w:gridCol w:w="1225"/>
        <w:gridCol w:w="1213"/>
        <w:gridCol w:w="2125"/>
      </w:tblGrid>
      <w:tr w14:paraId="7772B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51" w:type="dxa"/>
            <w:noWrap/>
            <w:tcMar>
              <w:top w:w="0" w:type="dxa"/>
              <w:left w:w="108" w:type="dxa"/>
              <w:bottom w:w="0" w:type="dxa"/>
              <w:right w:w="108" w:type="dxa"/>
            </w:tcMar>
            <w:vAlign w:val="center"/>
          </w:tcPr>
          <w:p w14:paraId="107149D8">
            <w:pPr>
              <w:jc w:val="center"/>
              <w:rPr>
                <w:rFonts w:ascii="宋体" w:hAnsi="宋体" w:eastAsia="宋体" w:cs="Times New Roman"/>
                <w:sz w:val="22"/>
                <w:szCs w:val="22"/>
              </w:rPr>
            </w:pPr>
            <w:r>
              <w:rPr>
                <w:rFonts w:hint="eastAsia" w:ascii="宋体" w:hAnsi="宋体" w:eastAsia="宋体"/>
                <w:sz w:val="22"/>
                <w:szCs w:val="22"/>
              </w:rPr>
              <w:t>序号</w:t>
            </w:r>
          </w:p>
        </w:tc>
        <w:tc>
          <w:tcPr>
            <w:tcW w:w="1276" w:type="dxa"/>
            <w:noWrap/>
            <w:tcMar>
              <w:top w:w="0" w:type="dxa"/>
              <w:left w:w="108" w:type="dxa"/>
              <w:bottom w:w="0" w:type="dxa"/>
              <w:right w:w="108" w:type="dxa"/>
            </w:tcMar>
            <w:vAlign w:val="center"/>
          </w:tcPr>
          <w:p w14:paraId="652AAE52">
            <w:pPr>
              <w:jc w:val="center"/>
              <w:rPr>
                <w:rFonts w:ascii="宋体" w:hAnsi="宋体" w:eastAsia="宋体"/>
                <w:sz w:val="22"/>
                <w:szCs w:val="22"/>
              </w:rPr>
            </w:pPr>
            <w:r>
              <w:rPr>
                <w:rFonts w:hint="eastAsia" w:ascii="宋体" w:hAnsi="宋体" w:eastAsia="宋体"/>
                <w:sz w:val="22"/>
                <w:szCs w:val="22"/>
              </w:rPr>
              <w:t>项目</w:t>
            </w:r>
          </w:p>
        </w:tc>
        <w:tc>
          <w:tcPr>
            <w:tcW w:w="2821" w:type="dxa"/>
            <w:noWrap/>
            <w:tcMar>
              <w:top w:w="0" w:type="dxa"/>
              <w:left w:w="108" w:type="dxa"/>
              <w:bottom w:w="0" w:type="dxa"/>
              <w:right w:w="108" w:type="dxa"/>
            </w:tcMar>
            <w:vAlign w:val="center"/>
          </w:tcPr>
          <w:p w14:paraId="316E6B3D">
            <w:pPr>
              <w:jc w:val="center"/>
              <w:rPr>
                <w:rFonts w:ascii="宋体" w:hAnsi="宋体" w:eastAsia="宋体"/>
                <w:sz w:val="22"/>
                <w:szCs w:val="22"/>
              </w:rPr>
            </w:pPr>
            <w:r>
              <w:rPr>
                <w:rFonts w:hint="eastAsia" w:ascii="宋体" w:hAnsi="宋体" w:eastAsia="宋体"/>
                <w:sz w:val="22"/>
                <w:szCs w:val="22"/>
              </w:rPr>
              <w:t>要求</w:t>
            </w:r>
          </w:p>
        </w:tc>
        <w:tc>
          <w:tcPr>
            <w:tcW w:w="1225" w:type="dxa"/>
            <w:noWrap/>
            <w:tcMar>
              <w:top w:w="0" w:type="dxa"/>
              <w:left w:w="108" w:type="dxa"/>
              <w:bottom w:w="0" w:type="dxa"/>
              <w:right w:w="108" w:type="dxa"/>
            </w:tcMar>
            <w:vAlign w:val="center"/>
          </w:tcPr>
          <w:p w14:paraId="7414C8C4">
            <w:pPr>
              <w:jc w:val="center"/>
              <w:rPr>
                <w:rFonts w:ascii="宋体" w:hAnsi="宋体" w:eastAsia="宋体"/>
                <w:sz w:val="22"/>
                <w:szCs w:val="22"/>
              </w:rPr>
            </w:pPr>
            <w:r>
              <w:rPr>
                <w:rFonts w:hint="eastAsia" w:ascii="宋体" w:hAnsi="宋体" w:eastAsia="宋体"/>
                <w:sz w:val="22"/>
                <w:szCs w:val="22"/>
              </w:rPr>
              <w:t>实际指标参数</w:t>
            </w:r>
          </w:p>
        </w:tc>
        <w:tc>
          <w:tcPr>
            <w:tcW w:w="1213" w:type="dxa"/>
            <w:noWrap/>
            <w:tcMar>
              <w:top w:w="0" w:type="dxa"/>
              <w:left w:w="108" w:type="dxa"/>
              <w:bottom w:w="0" w:type="dxa"/>
              <w:right w:w="108" w:type="dxa"/>
            </w:tcMar>
            <w:vAlign w:val="center"/>
          </w:tcPr>
          <w:p w14:paraId="5C66FD97">
            <w:pPr>
              <w:jc w:val="center"/>
              <w:rPr>
                <w:rFonts w:ascii="宋体" w:hAnsi="宋体" w:eastAsia="宋体"/>
                <w:sz w:val="22"/>
                <w:szCs w:val="22"/>
              </w:rPr>
            </w:pPr>
            <w:r>
              <w:rPr>
                <w:rFonts w:hint="eastAsia" w:ascii="宋体" w:hAnsi="宋体" w:eastAsia="宋体"/>
                <w:sz w:val="22"/>
                <w:szCs w:val="22"/>
              </w:rPr>
              <w:t>偏离说明</w:t>
            </w:r>
          </w:p>
        </w:tc>
        <w:tc>
          <w:tcPr>
            <w:tcW w:w="2125" w:type="dxa"/>
            <w:noWrap/>
            <w:tcMar>
              <w:top w:w="0" w:type="dxa"/>
              <w:left w:w="108" w:type="dxa"/>
              <w:bottom w:w="0" w:type="dxa"/>
              <w:right w:w="108" w:type="dxa"/>
            </w:tcMar>
            <w:vAlign w:val="center"/>
          </w:tcPr>
          <w:p w14:paraId="028FB79B">
            <w:pPr>
              <w:jc w:val="center"/>
              <w:rPr>
                <w:rFonts w:hint="eastAsia" w:ascii="宋体" w:hAnsi="宋体" w:eastAsia="宋体"/>
                <w:sz w:val="22"/>
                <w:szCs w:val="22"/>
              </w:rPr>
            </w:pPr>
          </w:p>
        </w:tc>
      </w:tr>
      <w:tr w14:paraId="33226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51" w:type="dxa"/>
            <w:noWrap/>
            <w:tcMar>
              <w:top w:w="0" w:type="dxa"/>
              <w:left w:w="108" w:type="dxa"/>
              <w:bottom w:w="0" w:type="dxa"/>
              <w:right w:w="108" w:type="dxa"/>
            </w:tcMar>
            <w:vAlign w:val="center"/>
          </w:tcPr>
          <w:p w14:paraId="13C0F5DB">
            <w:pPr>
              <w:jc w:val="center"/>
              <w:rPr>
                <w:rFonts w:ascii="宋体" w:hAnsi="宋体" w:eastAsia="宋体"/>
                <w:sz w:val="22"/>
                <w:szCs w:val="22"/>
              </w:rPr>
            </w:pPr>
            <w:r>
              <w:rPr>
                <w:rFonts w:hint="eastAsia" w:ascii="宋体" w:hAnsi="宋体" w:eastAsia="宋体"/>
                <w:sz w:val="22"/>
                <w:szCs w:val="22"/>
              </w:rPr>
              <w:t>1</w:t>
            </w:r>
          </w:p>
        </w:tc>
        <w:tc>
          <w:tcPr>
            <w:tcW w:w="1276" w:type="dxa"/>
            <w:noWrap/>
            <w:tcMar>
              <w:top w:w="0" w:type="dxa"/>
              <w:left w:w="108" w:type="dxa"/>
              <w:bottom w:w="0" w:type="dxa"/>
              <w:right w:w="108" w:type="dxa"/>
            </w:tcMar>
            <w:vAlign w:val="center"/>
          </w:tcPr>
          <w:p w14:paraId="6CA49637">
            <w:pPr>
              <w:rPr>
                <w:rFonts w:ascii="宋体" w:hAnsi="宋体" w:eastAsia="宋体"/>
                <w:sz w:val="22"/>
                <w:szCs w:val="22"/>
              </w:rPr>
            </w:pPr>
            <w:r>
              <w:rPr>
                <w:rFonts w:hint="eastAsia" w:ascii="宋体" w:hAnsi="宋体" w:eastAsia="宋体"/>
                <w:sz w:val="22"/>
                <w:szCs w:val="22"/>
              </w:rPr>
              <w:t>卡片的标准尺寸</w:t>
            </w:r>
          </w:p>
        </w:tc>
        <w:tc>
          <w:tcPr>
            <w:tcW w:w="2821" w:type="dxa"/>
            <w:noWrap/>
            <w:tcMar>
              <w:top w:w="0" w:type="dxa"/>
              <w:left w:w="108" w:type="dxa"/>
              <w:bottom w:w="0" w:type="dxa"/>
              <w:right w:w="108" w:type="dxa"/>
            </w:tcMar>
          </w:tcPr>
          <w:p w14:paraId="0123BD03">
            <w:pPr>
              <w:rPr>
                <w:rFonts w:ascii="宋体" w:hAnsi="宋体" w:eastAsia="宋体"/>
                <w:sz w:val="22"/>
                <w:szCs w:val="22"/>
              </w:rPr>
            </w:pPr>
            <w:r>
              <w:rPr>
                <w:rFonts w:hint="eastAsia" w:ascii="宋体" w:hAnsi="宋体" w:eastAsia="宋体"/>
                <w:sz w:val="22"/>
                <w:szCs w:val="22"/>
              </w:rPr>
              <w:t>长：85.47～85.72mm（85.60 ）</w:t>
            </w:r>
          </w:p>
          <w:p w14:paraId="5316C779">
            <w:pPr>
              <w:rPr>
                <w:rFonts w:ascii="宋体" w:hAnsi="宋体" w:eastAsia="宋体"/>
                <w:sz w:val="22"/>
                <w:szCs w:val="22"/>
              </w:rPr>
            </w:pPr>
            <w:r>
              <w:rPr>
                <w:rFonts w:hint="eastAsia" w:ascii="宋体" w:hAnsi="宋体" w:eastAsia="宋体"/>
                <w:sz w:val="22"/>
                <w:szCs w:val="22"/>
              </w:rPr>
              <w:t>宽：53.92～54.03mm（53.98 ）</w:t>
            </w:r>
          </w:p>
          <w:p w14:paraId="2BEF4D51">
            <w:pPr>
              <w:rPr>
                <w:rFonts w:ascii="宋体" w:hAnsi="宋体" w:eastAsia="宋体"/>
                <w:sz w:val="22"/>
                <w:szCs w:val="22"/>
              </w:rPr>
            </w:pPr>
            <w:r>
              <w:rPr>
                <w:rFonts w:hint="eastAsia" w:ascii="宋体" w:hAnsi="宋体" w:eastAsia="宋体"/>
                <w:sz w:val="22"/>
                <w:szCs w:val="22"/>
              </w:rPr>
              <w:t>厚：0.68mm～0.84mm（0.76mm ）</w:t>
            </w:r>
          </w:p>
          <w:p w14:paraId="1675F1FF">
            <w:pPr>
              <w:rPr>
                <w:rFonts w:ascii="宋体" w:hAnsi="宋体" w:eastAsia="宋体"/>
                <w:sz w:val="22"/>
                <w:szCs w:val="22"/>
              </w:rPr>
            </w:pPr>
            <w:r>
              <w:rPr>
                <w:rFonts w:hint="eastAsia" w:ascii="宋体" w:hAnsi="宋体" w:eastAsia="宋体"/>
                <w:sz w:val="22"/>
                <w:szCs w:val="22"/>
              </w:rPr>
              <w:t>圆角过渡半径：3.18mm</w:t>
            </w:r>
          </w:p>
        </w:tc>
        <w:tc>
          <w:tcPr>
            <w:tcW w:w="1225" w:type="dxa"/>
            <w:noWrap/>
            <w:tcMar>
              <w:top w:w="0" w:type="dxa"/>
              <w:left w:w="108" w:type="dxa"/>
              <w:bottom w:w="0" w:type="dxa"/>
              <w:right w:w="108" w:type="dxa"/>
            </w:tcMar>
          </w:tcPr>
          <w:p w14:paraId="45D187BF">
            <w:pPr>
              <w:rPr>
                <w:rFonts w:ascii="宋体" w:hAnsi="宋体" w:eastAsia="宋体"/>
                <w:sz w:val="22"/>
                <w:szCs w:val="22"/>
              </w:rPr>
            </w:pPr>
          </w:p>
        </w:tc>
        <w:tc>
          <w:tcPr>
            <w:tcW w:w="1213" w:type="dxa"/>
            <w:noWrap/>
            <w:tcMar>
              <w:top w:w="0" w:type="dxa"/>
              <w:left w:w="108" w:type="dxa"/>
              <w:bottom w:w="0" w:type="dxa"/>
              <w:right w:w="108" w:type="dxa"/>
            </w:tcMar>
          </w:tcPr>
          <w:p w14:paraId="12518880">
            <w:pPr>
              <w:rPr>
                <w:rFonts w:ascii="宋体" w:hAnsi="宋体" w:eastAsia="宋体"/>
                <w:sz w:val="22"/>
                <w:szCs w:val="22"/>
              </w:rPr>
            </w:pPr>
          </w:p>
        </w:tc>
        <w:tc>
          <w:tcPr>
            <w:tcW w:w="2125" w:type="dxa"/>
            <w:noWrap/>
            <w:tcMar>
              <w:top w:w="0" w:type="dxa"/>
              <w:left w:w="108" w:type="dxa"/>
              <w:bottom w:w="0" w:type="dxa"/>
              <w:right w:w="108" w:type="dxa"/>
            </w:tcMar>
          </w:tcPr>
          <w:p w14:paraId="1AEEDC05">
            <w:pPr>
              <w:rPr>
                <w:rFonts w:ascii="宋体" w:hAnsi="宋体" w:eastAsia="宋体"/>
                <w:sz w:val="22"/>
                <w:szCs w:val="22"/>
              </w:rPr>
            </w:pPr>
          </w:p>
        </w:tc>
      </w:tr>
      <w:tr w14:paraId="2F748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51" w:type="dxa"/>
            <w:noWrap/>
            <w:tcMar>
              <w:top w:w="0" w:type="dxa"/>
              <w:left w:w="108" w:type="dxa"/>
              <w:bottom w:w="0" w:type="dxa"/>
              <w:right w:w="108" w:type="dxa"/>
            </w:tcMar>
            <w:vAlign w:val="center"/>
          </w:tcPr>
          <w:p w14:paraId="3D67C42E">
            <w:pPr>
              <w:jc w:val="center"/>
              <w:rPr>
                <w:rFonts w:ascii="宋体" w:hAnsi="宋体" w:eastAsia="宋体"/>
                <w:sz w:val="22"/>
                <w:szCs w:val="22"/>
              </w:rPr>
            </w:pPr>
            <w:r>
              <w:rPr>
                <w:rFonts w:hint="eastAsia" w:ascii="宋体" w:hAnsi="宋体" w:eastAsia="宋体"/>
                <w:sz w:val="22"/>
                <w:szCs w:val="22"/>
              </w:rPr>
              <w:t>2</w:t>
            </w:r>
          </w:p>
        </w:tc>
        <w:tc>
          <w:tcPr>
            <w:tcW w:w="1276" w:type="dxa"/>
            <w:noWrap/>
            <w:tcMar>
              <w:top w:w="0" w:type="dxa"/>
              <w:left w:w="108" w:type="dxa"/>
              <w:bottom w:w="0" w:type="dxa"/>
              <w:right w:w="108" w:type="dxa"/>
            </w:tcMar>
            <w:vAlign w:val="center"/>
          </w:tcPr>
          <w:p w14:paraId="50DDFC4A">
            <w:pPr>
              <w:rPr>
                <w:rFonts w:ascii="宋体" w:hAnsi="宋体" w:eastAsia="宋体"/>
                <w:sz w:val="22"/>
                <w:szCs w:val="22"/>
              </w:rPr>
            </w:pPr>
            <w:r>
              <w:rPr>
                <w:rFonts w:hint="eastAsia" w:ascii="宋体" w:hAnsi="宋体" w:eastAsia="宋体"/>
                <w:sz w:val="22"/>
                <w:szCs w:val="22"/>
              </w:rPr>
              <w:t>COS部份</w:t>
            </w:r>
          </w:p>
        </w:tc>
        <w:tc>
          <w:tcPr>
            <w:tcW w:w="2821" w:type="dxa"/>
            <w:noWrap/>
            <w:tcMar>
              <w:top w:w="0" w:type="dxa"/>
              <w:left w:w="108" w:type="dxa"/>
              <w:bottom w:w="0" w:type="dxa"/>
              <w:right w:w="108" w:type="dxa"/>
            </w:tcMar>
          </w:tcPr>
          <w:p w14:paraId="6F248C14">
            <w:pPr>
              <w:rPr>
                <w:rFonts w:ascii="宋体" w:hAnsi="宋体" w:eastAsia="宋体"/>
                <w:sz w:val="22"/>
                <w:szCs w:val="22"/>
              </w:rPr>
            </w:pPr>
            <w:r>
              <w:rPr>
                <w:rFonts w:hint="eastAsia" w:ascii="宋体" w:hAnsi="宋体" w:eastAsia="宋体"/>
                <w:sz w:val="22"/>
                <w:szCs w:val="22"/>
              </w:rPr>
              <w:t>基于Java平台(支持静态、动态Java应用)</w:t>
            </w:r>
          </w:p>
          <w:p w14:paraId="681EDC5D">
            <w:pPr>
              <w:rPr>
                <w:rFonts w:ascii="宋体" w:hAnsi="宋体" w:eastAsia="宋体"/>
                <w:sz w:val="22"/>
                <w:szCs w:val="22"/>
              </w:rPr>
            </w:pPr>
            <w:r>
              <w:rPr>
                <w:rFonts w:hint="eastAsia" w:ascii="宋体" w:hAnsi="宋体" w:eastAsia="宋体"/>
                <w:sz w:val="22"/>
                <w:szCs w:val="22"/>
              </w:rPr>
              <w:t>支持多安全域管理，支持多应用（可以在卡片中加载PBOC应用外的其他金融或者非金融行业应用。新应用的加载可以在制卡时完成，也可以在发卡后通过脚本完成），需提供中国银联嵌入式软件安全认证。</w:t>
            </w:r>
          </w:p>
        </w:tc>
        <w:tc>
          <w:tcPr>
            <w:tcW w:w="1225" w:type="dxa"/>
            <w:noWrap/>
            <w:tcMar>
              <w:top w:w="0" w:type="dxa"/>
              <w:left w:w="108" w:type="dxa"/>
              <w:bottom w:w="0" w:type="dxa"/>
              <w:right w:w="108" w:type="dxa"/>
            </w:tcMar>
          </w:tcPr>
          <w:p w14:paraId="02F8DACB">
            <w:pPr>
              <w:rPr>
                <w:rFonts w:ascii="宋体" w:hAnsi="宋体" w:eastAsia="宋体"/>
                <w:sz w:val="22"/>
                <w:szCs w:val="22"/>
              </w:rPr>
            </w:pPr>
          </w:p>
        </w:tc>
        <w:tc>
          <w:tcPr>
            <w:tcW w:w="1213" w:type="dxa"/>
            <w:noWrap/>
            <w:tcMar>
              <w:top w:w="0" w:type="dxa"/>
              <w:left w:w="108" w:type="dxa"/>
              <w:bottom w:w="0" w:type="dxa"/>
              <w:right w:w="108" w:type="dxa"/>
            </w:tcMar>
          </w:tcPr>
          <w:p w14:paraId="1FEE4CA7">
            <w:pPr>
              <w:rPr>
                <w:rFonts w:ascii="宋体" w:hAnsi="宋体" w:eastAsia="宋体"/>
                <w:sz w:val="22"/>
                <w:szCs w:val="22"/>
              </w:rPr>
            </w:pPr>
          </w:p>
        </w:tc>
        <w:tc>
          <w:tcPr>
            <w:tcW w:w="2125" w:type="dxa"/>
            <w:noWrap/>
            <w:tcMar>
              <w:top w:w="0" w:type="dxa"/>
              <w:left w:w="108" w:type="dxa"/>
              <w:bottom w:w="0" w:type="dxa"/>
              <w:right w:w="108" w:type="dxa"/>
            </w:tcMar>
          </w:tcPr>
          <w:p w14:paraId="1F07E540">
            <w:pPr>
              <w:rPr>
                <w:rFonts w:ascii="宋体" w:hAnsi="宋体" w:eastAsia="宋体"/>
                <w:sz w:val="22"/>
                <w:szCs w:val="22"/>
              </w:rPr>
            </w:pPr>
          </w:p>
        </w:tc>
      </w:tr>
      <w:tr w14:paraId="30D5D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51" w:type="dxa"/>
            <w:noWrap/>
            <w:tcMar>
              <w:top w:w="0" w:type="dxa"/>
              <w:left w:w="108" w:type="dxa"/>
              <w:bottom w:w="0" w:type="dxa"/>
              <w:right w:w="108" w:type="dxa"/>
            </w:tcMar>
            <w:vAlign w:val="center"/>
          </w:tcPr>
          <w:p w14:paraId="49A9434D">
            <w:pPr>
              <w:jc w:val="center"/>
              <w:rPr>
                <w:rFonts w:ascii="宋体" w:hAnsi="宋体" w:eastAsia="宋体"/>
                <w:sz w:val="22"/>
                <w:szCs w:val="22"/>
              </w:rPr>
            </w:pPr>
            <w:r>
              <w:rPr>
                <w:rFonts w:hint="eastAsia" w:ascii="宋体" w:hAnsi="宋体" w:eastAsia="宋体"/>
                <w:sz w:val="22"/>
                <w:szCs w:val="22"/>
              </w:rPr>
              <w:t>3</w:t>
            </w:r>
          </w:p>
        </w:tc>
        <w:tc>
          <w:tcPr>
            <w:tcW w:w="1276" w:type="dxa"/>
            <w:noWrap/>
            <w:tcMar>
              <w:top w:w="0" w:type="dxa"/>
              <w:left w:w="108" w:type="dxa"/>
              <w:bottom w:w="0" w:type="dxa"/>
              <w:right w:w="108" w:type="dxa"/>
            </w:tcMar>
            <w:vAlign w:val="center"/>
          </w:tcPr>
          <w:p w14:paraId="7D87B5A3">
            <w:pPr>
              <w:rPr>
                <w:rFonts w:ascii="宋体" w:hAnsi="宋体" w:eastAsia="宋体"/>
                <w:sz w:val="22"/>
                <w:szCs w:val="22"/>
              </w:rPr>
            </w:pPr>
            <w:r>
              <w:rPr>
                <w:rFonts w:hint="eastAsia" w:ascii="宋体" w:hAnsi="宋体" w:eastAsia="宋体"/>
                <w:sz w:val="22"/>
                <w:szCs w:val="22"/>
              </w:rPr>
              <w:t>芯片部份</w:t>
            </w:r>
          </w:p>
        </w:tc>
        <w:tc>
          <w:tcPr>
            <w:tcW w:w="2821" w:type="dxa"/>
            <w:noWrap/>
            <w:tcMar>
              <w:top w:w="0" w:type="dxa"/>
              <w:left w:w="108" w:type="dxa"/>
              <w:bottom w:w="0" w:type="dxa"/>
              <w:right w:w="108" w:type="dxa"/>
            </w:tcMar>
          </w:tcPr>
          <w:p w14:paraId="5A503828">
            <w:pPr>
              <w:rPr>
                <w:rFonts w:ascii="宋体" w:hAnsi="宋体" w:eastAsia="宋体"/>
                <w:sz w:val="22"/>
                <w:szCs w:val="22"/>
              </w:rPr>
            </w:pPr>
            <w:r>
              <w:rPr>
                <w:rFonts w:hint="eastAsia" w:ascii="宋体" w:hAnsi="宋体" w:eastAsia="宋体"/>
                <w:sz w:val="22"/>
                <w:szCs w:val="22"/>
              </w:rPr>
              <w:t>通讯方式：接触式、双界面</w:t>
            </w:r>
          </w:p>
          <w:p w14:paraId="52873FCE">
            <w:pPr>
              <w:rPr>
                <w:rFonts w:ascii="宋体" w:hAnsi="宋体" w:eastAsia="宋体"/>
                <w:sz w:val="22"/>
                <w:szCs w:val="22"/>
              </w:rPr>
            </w:pPr>
            <w:r>
              <w:rPr>
                <w:rFonts w:hint="eastAsia" w:ascii="宋体" w:hAnsi="宋体" w:eastAsia="宋体"/>
                <w:sz w:val="22"/>
                <w:szCs w:val="22"/>
              </w:rPr>
              <w:t>CPU：8位及以上</w:t>
            </w:r>
          </w:p>
          <w:p w14:paraId="29A7A38B">
            <w:pPr>
              <w:rPr>
                <w:rFonts w:ascii="宋体" w:hAnsi="宋体" w:eastAsia="宋体"/>
                <w:sz w:val="22"/>
                <w:szCs w:val="22"/>
              </w:rPr>
            </w:pPr>
            <w:r>
              <w:rPr>
                <w:rFonts w:hint="eastAsia" w:ascii="宋体" w:hAnsi="宋体" w:eastAsia="宋体"/>
                <w:sz w:val="22"/>
                <w:szCs w:val="22"/>
              </w:rPr>
              <w:t>芯片具有以硬掩膜方式加载应用的能力，卡片操作系统、虚拟机以及金融应用必须以硬掩膜的形式全部放在ROM中</w:t>
            </w:r>
          </w:p>
          <w:p w14:paraId="1F39DFF1">
            <w:pPr>
              <w:rPr>
                <w:rFonts w:ascii="宋体" w:hAnsi="宋体" w:eastAsia="宋体"/>
                <w:sz w:val="22"/>
                <w:szCs w:val="22"/>
              </w:rPr>
            </w:pPr>
            <w:r>
              <w:rPr>
                <w:rFonts w:hint="eastAsia" w:ascii="宋体" w:hAnsi="宋体" w:eastAsia="宋体"/>
                <w:sz w:val="22"/>
                <w:szCs w:val="22"/>
              </w:rPr>
              <w:t>芯片有足够的运算能力，满足扩展要求</w:t>
            </w:r>
          </w:p>
          <w:p w14:paraId="0A50EF3B">
            <w:pPr>
              <w:rPr>
                <w:rFonts w:ascii="宋体" w:hAnsi="宋体" w:eastAsia="宋体"/>
                <w:sz w:val="22"/>
                <w:szCs w:val="22"/>
              </w:rPr>
            </w:pPr>
            <w:r>
              <w:rPr>
                <w:rFonts w:hint="eastAsia" w:ascii="宋体" w:hAnsi="宋体" w:eastAsia="宋体"/>
                <w:sz w:val="22"/>
                <w:szCs w:val="22"/>
              </w:rPr>
              <w:t>芯片支持高速通讯接口</w:t>
            </w:r>
          </w:p>
        </w:tc>
        <w:tc>
          <w:tcPr>
            <w:tcW w:w="1225" w:type="dxa"/>
            <w:noWrap/>
            <w:tcMar>
              <w:top w:w="0" w:type="dxa"/>
              <w:left w:w="108" w:type="dxa"/>
              <w:bottom w:w="0" w:type="dxa"/>
              <w:right w:w="108" w:type="dxa"/>
            </w:tcMar>
          </w:tcPr>
          <w:p w14:paraId="5DF65345">
            <w:pPr>
              <w:rPr>
                <w:rFonts w:ascii="宋体" w:hAnsi="宋体" w:eastAsia="宋体"/>
                <w:sz w:val="22"/>
                <w:szCs w:val="22"/>
              </w:rPr>
            </w:pPr>
          </w:p>
        </w:tc>
        <w:tc>
          <w:tcPr>
            <w:tcW w:w="1213" w:type="dxa"/>
            <w:noWrap/>
            <w:tcMar>
              <w:top w:w="0" w:type="dxa"/>
              <w:left w:w="108" w:type="dxa"/>
              <w:bottom w:w="0" w:type="dxa"/>
              <w:right w:w="108" w:type="dxa"/>
            </w:tcMar>
          </w:tcPr>
          <w:p w14:paraId="4DE557AE">
            <w:pPr>
              <w:rPr>
                <w:rFonts w:ascii="宋体" w:hAnsi="宋体" w:eastAsia="宋体"/>
                <w:sz w:val="22"/>
                <w:szCs w:val="22"/>
              </w:rPr>
            </w:pPr>
          </w:p>
        </w:tc>
        <w:tc>
          <w:tcPr>
            <w:tcW w:w="2125" w:type="dxa"/>
            <w:noWrap/>
            <w:tcMar>
              <w:top w:w="0" w:type="dxa"/>
              <w:left w:w="108" w:type="dxa"/>
              <w:bottom w:w="0" w:type="dxa"/>
              <w:right w:w="108" w:type="dxa"/>
            </w:tcMar>
          </w:tcPr>
          <w:p w14:paraId="49180021">
            <w:pPr>
              <w:rPr>
                <w:rFonts w:ascii="宋体" w:hAnsi="宋体" w:eastAsia="宋体"/>
                <w:sz w:val="22"/>
                <w:szCs w:val="22"/>
              </w:rPr>
            </w:pPr>
          </w:p>
        </w:tc>
      </w:tr>
      <w:tr w14:paraId="62C34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51" w:type="dxa"/>
            <w:vMerge w:val="restart"/>
            <w:noWrap/>
            <w:tcMar>
              <w:top w:w="0" w:type="dxa"/>
              <w:left w:w="108" w:type="dxa"/>
              <w:bottom w:w="0" w:type="dxa"/>
              <w:right w:w="108" w:type="dxa"/>
            </w:tcMar>
            <w:vAlign w:val="center"/>
          </w:tcPr>
          <w:p w14:paraId="24119C5C">
            <w:pPr>
              <w:jc w:val="center"/>
              <w:rPr>
                <w:rFonts w:ascii="宋体" w:hAnsi="宋体" w:eastAsia="宋体"/>
                <w:sz w:val="22"/>
                <w:szCs w:val="22"/>
              </w:rPr>
            </w:pPr>
            <w:r>
              <w:rPr>
                <w:rFonts w:hint="eastAsia" w:ascii="宋体" w:hAnsi="宋体" w:eastAsia="宋体"/>
                <w:sz w:val="22"/>
                <w:szCs w:val="22"/>
              </w:rPr>
              <w:t>4</w:t>
            </w:r>
          </w:p>
        </w:tc>
        <w:tc>
          <w:tcPr>
            <w:tcW w:w="4097" w:type="dxa"/>
            <w:gridSpan w:val="2"/>
            <w:noWrap/>
            <w:tcMar>
              <w:top w:w="0" w:type="dxa"/>
              <w:left w:w="108" w:type="dxa"/>
              <w:bottom w:w="0" w:type="dxa"/>
              <w:right w:w="108" w:type="dxa"/>
            </w:tcMar>
            <w:vAlign w:val="center"/>
          </w:tcPr>
          <w:p w14:paraId="52A842AC">
            <w:pPr>
              <w:rPr>
                <w:rFonts w:ascii="宋体" w:hAnsi="宋体" w:eastAsia="宋体"/>
                <w:sz w:val="22"/>
                <w:szCs w:val="22"/>
              </w:rPr>
            </w:pPr>
            <w:r>
              <w:rPr>
                <w:rFonts w:hint="eastAsia" w:ascii="宋体" w:hAnsi="宋体" w:eastAsia="宋体"/>
                <w:sz w:val="22"/>
                <w:szCs w:val="22"/>
              </w:rPr>
              <w:t>芯片质量要求:芯片应达到CC EAL4+及以上认证</w:t>
            </w:r>
          </w:p>
        </w:tc>
        <w:tc>
          <w:tcPr>
            <w:tcW w:w="1225" w:type="dxa"/>
            <w:noWrap/>
            <w:tcMar>
              <w:top w:w="0" w:type="dxa"/>
              <w:left w:w="108" w:type="dxa"/>
              <w:bottom w:w="0" w:type="dxa"/>
              <w:right w:w="108" w:type="dxa"/>
            </w:tcMar>
            <w:vAlign w:val="center"/>
          </w:tcPr>
          <w:p w14:paraId="1C12A4BE">
            <w:pPr>
              <w:rPr>
                <w:rFonts w:ascii="宋体" w:hAnsi="宋体" w:eastAsia="宋体"/>
                <w:sz w:val="22"/>
                <w:szCs w:val="22"/>
              </w:rPr>
            </w:pPr>
          </w:p>
        </w:tc>
        <w:tc>
          <w:tcPr>
            <w:tcW w:w="1213" w:type="dxa"/>
            <w:noWrap/>
            <w:tcMar>
              <w:top w:w="0" w:type="dxa"/>
              <w:left w:w="108" w:type="dxa"/>
              <w:bottom w:w="0" w:type="dxa"/>
              <w:right w:w="108" w:type="dxa"/>
            </w:tcMar>
            <w:vAlign w:val="center"/>
          </w:tcPr>
          <w:p w14:paraId="1246C1DA">
            <w:pPr>
              <w:rPr>
                <w:rFonts w:ascii="宋体" w:hAnsi="宋体" w:eastAsia="宋体"/>
                <w:sz w:val="22"/>
                <w:szCs w:val="22"/>
              </w:rPr>
            </w:pPr>
          </w:p>
        </w:tc>
        <w:tc>
          <w:tcPr>
            <w:tcW w:w="2125" w:type="dxa"/>
            <w:noWrap/>
            <w:tcMar>
              <w:top w:w="0" w:type="dxa"/>
              <w:left w:w="108" w:type="dxa"/>
              <w:bottom w:w="0" w:type="dxa"/>
              <w:right w:w="108" w:type="dxa"/>
            </w:tcMar>
            <w:vAlign w:val="center"/>
          </w:tcPr>
          <w:p w14:paraId="32F775D6">
            <w:pPr>
              <w:rPr>
                <w:rFonts w:ascii="宋体" w:hAnsi="宋体" w:eastAsia="宋体"/>
                <w:sz w:val="22"/>
                <w:szCs w:val="22"/>
              </w:rPr>
            </w:pPr>
          </w:p>
        </w:tc>
      </w:tr>
      <w:tr w14:paraId="0D7BB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51" w:type="dxa"/>
            <w:vMerge w:val="continue"/>
            <w:vAlign w:val="center"/>
          </w:tcPr>
          <w:p w14:paraId="4BF3A368">
            <w:pPr>
              <w:widowControl/>
              <w:jc w:val="left"/>
              <w:rPr>
                <w:rFonts w:ascii="宋体" w:hAnsi="宋体" w:eastAsia="宋体"/>
                <w:sz w:val="22"/>
                <w:szCs w:val="22"/>
              </w:rPr>
            </w:pPr>
          </w:p>
        </w:tc>
        <w:tc>
          <w:tcPr>
            <w:tcW w:w="1276" w:type="dxa"/>
            <w:noWrap/>
            <w:tcMar>
              <w:top w:w="0" w:type="dxa"/>
              <w:left w:w="108" w:type="dxa"/>
              <w:bottom w:w="0" w:type="dxa"/>
              <w:right w:w="108" w:type="dxa"/>
            </w:tcMar>
            <w:vAlign w:val="center"/>
          </w:tcPr>
          <w:p w14:paraId="5CD0A1C0">
            <w:pPr>
              <w:rPr>
                <w:rFonts w:ascii="宋体" w:hAnsi="宋体" w:eastAsia="宋体"/>
                <w:sz w:val="22"/>
                <w:szCs w:val="22"/>
              </w:rPr>
            </w:pPr>
            <w:r>
              <w:rPr>
                <w:rFonts w:hint="eastAsia" w:ascii="宋体" w:hAnsi="宋体" w:eastAsia="宋体"/>
                <w:sz w:val="22"/>
                <w:szCs w:val="22"/>
              </w:rPr>
              <w:t>安全质量检测标准</w:t>
            </w:r>
          </w:p>
        </w:tc>
        <w:tc>
          <w:tcPr>
            <w:tcW w:w="2821" w:type="dxa"/>
            <w:noWrap/>
            <w:tcMar>
              <w:top w:w="0" w:type="dxa"/>
              <w:left w:w="108" w:type="dxa"/>
              <w:bottom w:w="0" w:type="dxa"/>
              <w:right w:w="108" w:type="dxa"/>
            </w:tcMar>
          </w:tcPr>
          <w:p w14:paraId="4ADA1BD7">
            <w:pPr>
              <w:rPr>
                <w:rFonts w:ascii="宋体" w:hAnsi="宋体" w:eastAsia="宋体"/>
                <w:sz w:val="22"/>
                <w:szCs w:val="22"/>
              </w:rPr>
            </w:pPr>
            <w:r>
              <w:rPr>
                <w:rFonts w:hint="eastAsia" w:ascii="宋体" w:hAnsi="宋体" w:eastAsia="宋体"/>
                <w:sz w:val="22"/>
                <w:szCs w:val="22"/>
              </w:rPr>
              <w:t>芯片应达到CC EAL4+的认证标准或银联卡芯片产品安全认证。</w:t>
            </w:r>
          </w:p>
        </w:tc>
        <w:tc>
          <w:tcPr>
            <w:tcW w:w="1225" w:type="dxa"/>
            <w:noWrap/>
            <w:tcMar>
              <w:top w:w="0" w:type="dxa"/>
              <w:left w:w="108" w:type="dxa"/>
              <w:bottom w:w="0" w:type="dxa"/>
              <w:right w:w="108" w:type="dxa"/>
            </w:tcMar>
          </w:tcPr>
          <w:p w14:paraId="2C6ADFD2">
            <w:pPr>
              <w:rPr>
                <w:rFonts w:ascii="宋体" w:hAnsi="宋体" w:eastAsia="宋体"/>
                <w:sz w:val="22"/>
                <w:szCs w:val="22"/>
              </w:rPr>
            </w:pPr>
          </w:p>
        </w:tc>
        <w:tc>
          <w:tcPr>
            <w:tcW w:w="1213" w:type="dxa"/>
            <w:noWrap/>
            <w:tcMar>
              <w:top w:w="0" w:type="dxa"/>
              <w:left w:w="108" w:type="dxa"/>
              <w:bottom w:w="0" w:type="dxa"/>
              <w:right w:w="108" w:type="dxa"/>
            </w:tcMar>
          </w:tcPr>
          <w:p w14:paraId="1B195787">
            <w:pPr>
              <w:rPr>
                <w:rFonts w:ascii="宋体" w:hAnsi="宋体" w:eastAsia="宋体"/>
                <w:sz w:val="22"/>
                <w:szCs w:val="22"/>
              </w:rPr>
            </w:pPr>
          </w:p>
        </w:tc>
        <w:tc>
          <w:tcPr>
            <w:tcW w:w="2125" w:type="dxa"/>
            <w:noWrap/>
            <w:tcMar>
              <w:top w:w="0" w:type="dxa"/>
              <w:left w:w="108" w:type="dxa"/>
              <w:bottom w:w="0" w:type="dxa"/>
              <w:right w:w="108" w:type="dxa"/>
            </w:tcMar>
          </w:tcPr>
          <w:p w14:paraId="107BD7BE">
            <w:pPr>
              <w:rPr>
                <w:rFonts w:ascii="宋体" w:hAnsi="宋体" w:eastAsia="宋体"/>
                <w:sz w:val="22"/>
                <w:szCs w:val="22"/>
              </w:rPr>
            </w:pPr>
          </w:p>
        </w:tc>
      </w:tr>
      <w:tr w14:paraId="331EF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51" w:type="dxa"/>
            <w:vMerge w:val="continue"/>
            <w:vAlign w:val="center"/>
          </w:tcPr>
          <w:p w14:paraId="41FDFD49">
            <w:pPr>
              <w:widowControl/>
              <w:jc w:val="left"/>
              <w:rPr>
                <w:rFonts w:ascii="宋体" w:hAnsi="宋体" w:eastAsia="宋体"/>
                <w:sz w:val="22"/>
                <w:szCs w:val="22"/>
              </w:rPr>
            </w:pPr>
          </w:p>
        </w:tc>
        <w:tc>
          <w:tcPr>
            <w:tcW w:w="1276" w:type="dxa"/>
            <w:noWrap/>
            <w:tcMar>
              <w:top w:w="0" w:type="dxa"/>
              <w:left w:w="108" w:type="dxa"/>
              <w:bottom w:w="0" w:type="dxa"/>
              <w:right w:w="108" w:type="dxa"/>
            </w:tcMar>
            <w:vAlign w:val="center"/>
          </w:tcPr>
          <w:p w14:paraId="47EAB3BC">
            <w:pPr>
              <w:rPr>
                <w:rFonts w:ascii="宋体" w:hAnsi="宋体" w:eastAsia="宋体"/>
                <w:sz w:val="22"/>
                <w:szCs w:val="22"/>
              </w:rPr>
            </w:pPr>
            <w:r>
              <w:rPr>
                <w:rFonts w:hint="eastAsia" w:ascii="宋体" w:hAnsi="宋体" w:eastAsia="宋体"/>
                <w:sz w:val="22"/>
                <w:szCs w:val="22"/>
              </w:rPr>
              <w:t>EEPROM可容量</w:t>
            </w:r>
          </w:p>
        </w:tc>
        <w:tc>
          <w:tcPr>
            <w:tcW w:w="2821" w:type="dxa"/>
            <w:noWrap/>
            <w:tcMar>
              <w:top w:w="0" w:type="dxa"/>
              <w:left w:w="108" w:type="dxa"/>
              <w:bottom w:w="0" w:type="dxa"/>
              <w:right w:w="108" w:type="dxa"/>
            </w:tcMar>
          </w:tcPr>
          <w:p w14:paraId="11FE0173">
            <w:pPr>
              <w:rPr>
                <w:rFonts w:ascii="宋体" w:hAnsi="宋体" w:eastAsia="宋体"/>
                <w:sz w:val="22"/>
                <w:szCs w:val="22"/>
              </w:rPr>
            </w:pPr>
            <w:r>
              <w:rPr>
                <w:rFonts w:hint="eastAsia" w:ascii="宋体" w:hAnsi="宋体" w:eastAsia="宋体"/>
                <w:sz w:val="22"/>
                <w:szCs w:val="22"/>
              </w:rPr>
              <w:t>Java卡容量为</w:t>
            </w:r>
          </w:p>
          <w:p w14:paraId="588A5D8F">
            <w:pPr>
              <w:rPr>
                <w:rFonts w:ascii="宋体" w:hAnsi="宋体" w:eastAsia="宋体"/>
                <w:sz w:val="22"/>
                <w:szCs w:val="22"/>
              </w:rPr>
            </w:pPr>
            <w:r>
              <w:rPr>
                <w:rFonts w:hint="eastAsia" w:ascii="宋体" w:hAnsi="宋体" w:eastAsia="宋体"/>
                <w:sz w:val="22"/>
                <w:szCs w:val="22"/>
              </w:rPr>
              <w:t>36K产品≥36k</w:t>
            </w:r>
          </w:p>
          <w:p w14:paraId="4F342D69">
            <w:pPr>
              <w:rPr>
                <w:rFonts w:ascii="宋体" w:hAnsi="宋体" w:eastAsia="宋体"/>
                <w:sz w:val="22"/>
                <w:szCs w:val="22"/>
              </w:rPr>
            </w:pPr>
            <w:r>
              <w:rPr>
                <w:rFonts w:hint="eastAsia" w:ascii="宋体" w:hAnsi="宋体" w:eastAsia="宋体"/>
                <w:sz w:val="22"/>
                <w:szCs w:val="22"/>
              </w:rPr>
              <w:t>72K产品≥72K</w:t>
            </w:r>
          </w:p>
        </w:tc>
        <w:tc>
          <w:tcPr>
            <w:tcW w:w="1225" w:type="dxa"/>
            <w:noWrap/>
            <w:tcMar>
              <w:top w:w="0" w:type="dxa"/>
              <w:left w:w="108" w:type="dxa"/>
              <w:bottom w:w="0" w:type="dxa"/>
              <w:right w:w="108" w:type="dxa"/>
            </w:tcMar>
          </w:tcPr>
          <w:p w14:paraId="1FBEF5A8">
            <w:pPr>
              <w:rPr>
                <w:rFonts w:ascii="宋体" w:hAnsi="宋体" w:eastAsia="宋体"/>
                <w:sz w:val="22"/>
                <w:szCs w:val="22"/>
              </w:rPr>
            </w:pPr>
          </w:p>
        </w:tc>
        <w:tc>
          <w:tcPr>
            <w:tcW w:w="1213" w:type="dxa"/>
            <w:noWrap/>
            <w:tcMar>
              <w:top w:w="0" w:type="dxa"/>
              <w:left w:w="108" w:type="dxa"/>
              <w:bottom w:w="0" w:type="dxa"/>
              <w:right w:w="108" w:type="dxa"/>
            </w:tcMar>
          </w:tcPr>
          <w:p w14:paraId="7BE2DFB5">
            <w:pPr>
              <w:rPr>
                <w:rFonts w:ascii="宋体" w:hAnsi="宋体" w:eastAsia="宋体"/>
                <w:sz w:val="22"/>
                <w:szCs w:val="22"/>
              </w:rPr>
            </w:pPr>
          </w:p>
        </w:tc>
        <w:tc>
          <w:tcPr>
            <w:tcW w:w="2125" w:type="dxa"/>
            <w:noWrap/>
            <w:tcMar>
              <w:top w:w="0" w:type="dxa"/>
              <w:left w:w="108" w:type="dxa"/>
              <w:bottom w:w="0" w:type="dxa"/>
              <w:right w:w="108" w:type="dxa"/>
            </w:tcMar>
          </w:tcPr>
          <w:p w14:paraId="4E4B04A9">
            <w:pPr>
              <w:rPr>
                <w:rFonts w:ascii="宋体" w:hAnsi="宋体" w:eastAsia="宋体"/>
                <w:sz w:val="22"/>
                <w:szCs w:val="22"/>
              </w:rPr>
            </w:pPr>
          </w:p>
        </w:tc>
      </w:tr>
      <w:tr w14:paraId="4DAE0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51" w:type="dxa"/>
            <w:vMerge w:val="continue"/>
            <w:vAlign w:val="center"/>
          </w:tcPr>
          <w:p w14:paraId="0ED8A8B9">
            <w:pPr>
              <w:widowControl/>
              <w:jc w:val="left"/>
              <w:rPr>
                <w:rFonts w:ascii="宋体" w:hAnsi="宋体" w:eastAsia="宋体"/>
                <w:sz w:val="22"/>
                <w:szCs w:val="22"/>
              </w:rPr>
            </w:pPr>
          </w:p>
        </w:tc>
        <w:tc>
          <w:tcPr>
            <w:tcW w:w="1276" w:type="dxa"/>
            <w:noWrap/>
            <w:tcMar>
              <w:top w:w="0" w:type="dxa"/>
              <w:left w:w="108" w:type="dxa"/>
              <w:bottom w:w="0" w:type="dxa"/>
              <w:right w:w="108" w:type="dxa"/>
            </w:tcMar>
            <w:vAlign w:val="center"/>
          </w:tcPr>
          <w:p w14:paraId="28CD6E04">
            <w:pPr>
              <w:rPr>
                <w:rFonts w:ascii="宋体" w:hAnsi="宋体" w:eastAsia="宋体"/>
                <w:sz w:val="22"/>
                <w:szCs w:val="22"/>
              </w:rPr>
            </w:pPr>
            <w:r>
              <w:rPr>
                <w:rFonts w:hint="eastAsia" w:ascii="宋体" w:hAnsi="宋体" w:eastAsia="宋体"/>
                <w:sz w:val="22"/>
                <w:szCs w:val="22"/>
              </w:rPr>
              <w:t>EEPROM可擦写次数</w:t>
            </w:r>
          </w:p>
        </w:tc>
        <w:tc>
          <w:tcPr>
            <w:tcW w:w="2821" w:type="dxa"/>
            <w:noWrap/>
            <w:tcMar>
              <w:top w:w="0" w:type="dxa"/>
              <w:left w:w="108" w:type="dxa"/>
              <w:bottom w:w="0" w:type="dxa"/>
              <w:right w:w="108" w:type="dxa"/>
            </w:tcMar>
          </w:tcPr>
          <w:p w14:paraId="6C025AC1">
            <w:pPr>
              <w:rPr>
                <w:rFonts w:ascii="宋体" w:hAnsi="宋体" w:eastAsia="宋体"/>
                <w:sz w:val="22"/>
                <w:szCs w:val="22"/>
              </w:rPr>
            </w:pPr>
            <w:r>
              <w:rPr>
                <w:rFonts w:hint="eastAsia" w:ascii="宋体" w:hAnsi="宋体" w:eastAsia="宋体"/>
                <w:sz w:val="22"/>
                <w:szCs w:val="22"/>
              </w:rPr>
              <w:t>≥10万次</w:t>
            </w:r>
          </w:p>
        </w:tc>
        <w:tc>
          <w:tcPr>
            <w:tcW w:w="1225" w:type="dxa"/>
            <w:noWrap/>
            <w:tcMar>
              <w:top w:w="0" w:type="dxa"/>
              <w:left w:w="108" w:type="dxa"/>
              <w:bottom w:w="0" w:type="dxa"/>
              <w:right w:w="108" w:type="dxa"/>
            </w:tcMar>
          </w:tcPr>
          <w:p w14:paraId="31608D02">
            <w:pPr>
              <w:rPr>
                <w:rFonts w:ascii="宋体" w:hAnsi="宋体" w:eastAsia="宋体"/>
                <w:sz w:val="22"/>
                <w:szCs w:val="22"/>
              </w:rPr>
            </w:pPr>
          </w:p>
        </w:tc>
        <w:tc>
          <w:tcPr>
            <w:tcW w:w="1213" w:type="dxa"/>
            <w:noWrap/>
            <w:tcMar>
              <w:top w:w="0" w:type="dxa"/>
              <w:left w:w="108" w:type="dxa"/>
              <w:bottom w:w="0" w:type="dxa"/>
              <w:right w:w="108" w:type="dxa"/>
            </w:tcMar>
          </w:tcPr>
          <w:p w14:paraId="600E58F8">
            <w:pPr>
              <w:rPr>
                <w:rFonts w:ascii="宋体" w:hAnsi="宋体" w:eastAsia="宋体"/>
                <w:sz w:val="22"/>
                <w:szCs w:val="22"/>
              </w:rPr>
            </w:pPr>
          </w:p>
        </w:tc>
        <w:tc>
          <w:tcPr>
            <w:tcW w:w="2125" w:type="dxa"/>
            <w:noWrap/>
            <w:tcMar>
              <w:top w:w="0" w:type="dxa"/>
              <w:left w:w="108" w:type="dxa"/>
              <w:bottom w:w="0" w:type="dxa"/>
              <w:right w:w="108" w:type="dxa"/>
            </w:tcMar>
          </w:tcPr>
          <w:p w14:paraId="4F5E398E">
            <w:pPr>
              <w:rPr>
                <w:rFonts w:ascii="宋体" w:hAnsi="宋体" w:eastAsia="宋体"/>
                <w:sz w:val="22"/>
                <w:szCs w:val="22"/>
              </w:rPr>
            </w:pPr>
          </w:p>
        </w:tc>
      </w:tr>
      <w:tr w14:paraId="2DC9F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51" w:type="dxa"/>
            <w:vMerge w:val="continue"/>
            <w:vAlign w:val="center"/>
          </w:tcPr>
          <w:p w14:paraId="17A63C59">
            <w:pPr>
              <w:widowControl/>
              <w:jc w:val="left"/>
              <w:rPr>
                <w:rFonts w:ascii="宋体" w:hAnsi="宋体" w:eastAsia="宋体"/>
                <w:sz w:val="22"/>
                <w:szCs w:val="22"/>
              </w:rPr>
            </w:pPr>
          </w:p>
        </w:tc>
        <w:tc>
          <w:tcPr>
            <w:tcW w:w="1276" w:type="dxa"/>
            <w:noWrap/>
            <w:tcMar>
              <w:top w:w="0" w:type="dxa"/>
              <w:left w:w="108" w:type="dxa"/>
              <w:bottom w:w="0" w:type="dxa"/>
              <w:right w:w="108" w:type="dxa"/>
            </w:tcMar>
            <w:vAlign w:val="center"/>
          </w:tcPr>
          <w:p w14:paraId="5F65CF96">
            <w:pPr>
              <w:rPr>
                <w:rFonts w:ascii="宋体" w:hAnsi="宋体" w:eastAsia="宋体"/>
                <w:sz w:val="22"/>
                <w:szCs w:val="22"/>
              </w:rPr>
            </w:pPr>
            <w:r>
              <w:rPr>
                <w:rFonts w:hint="eastAsia" w:ascii="宋体" w:hAnsi="宋体" w:eastAsia="宋体"/>
                <w:sz w:val="22"/>
                <w:szCs w:val="22"/>
              </w:rPr>
              <w:t>数据保存时间</w:t>
            </w:r>
          </w:p>
        </w:tc>
        <w:tc>
          <w:tcPr>
            <w:tcW w:w="2821" w:type="dxa"/>
            <w:noWrap/>
            <w:tcMar>
              <w:top w:w="0" w:type="dxa"/>
              <w:left w:w="108" w:type="dxa"/>
              <w:bottom w:w="0" w:type="dxa"/>
              <w:right w:w="108" w:type="dxa"/>
            </w:tcMar>
          </w:tcPr>
          <w:p w14:paraId="5FD9A29A">
            <w:pPr>
              <w:rPr>
                <w:rFonts w:ascii="宋体" w:hAnsi="宋体" w:eastAsia="宋体"/>
                <w:sz w:val="22"/>
                <w:szCs w:val="22"/>
              </w:rPr>
            </w:pPr>
            <w:r>
              <w:rPr>
                <w:rFonts w:hint="eastAsia" w:ascii="宋体" w:hAnsi="宋体" w:eastAsia="宋体"/>
                <w:sz w:val="22"/>
                <w:szCs w:val="22"/>
              </w:rPr>
              <w:t>≥10年</w:t>
            </w:r>
          </w:p>
        </w:tc>
        <w:tc>
          <w:tcPr>
            <w:tcW w:w="1225" w:type="dxa"/>
            <w:noWrap/>
            <w:tcMar>
              <w:top w:w="0" w:type="dxa"/>
              <w:left w:w="108" w:type="dxa"/>
              <w:bottom w:w="0" w:type="dxa"/>
              <w:right w:w="108" w:type="dxa"/>
            </w:tcMar>
          </w:tcPr>
          <w:p w14:paraId="3B3FEA7A">
            <w:pPr>
              <w:rPr>
                <w:rFonts w:ascii="宋体" w:hAnsi="宋体" w:eastAsia="宋体"/>
                <w:sz w:val="22"/>
                <w:szCs w:val="22"/>
              </w:rPr>
            </w:pPr>
          </w:p>
        </w:tc>
        <w:tc>
          <w:tcPr>
            <w:tcW w:w="1213" w:type="dxa"/>
            <w:noWrap/>
            <w:tcMar>
              <w:top w:w="0" w:type="dxa"/>
              <w:left w:w="108" w:type="dxa"/>
              <w:bottom w:w="0" w:type="dxa"/>
              <w:right w:w="108" w:type="dxa"/>
            </w:tcMar>
          </w:tcPr>
          <w:p w14:paraId="1E131FD1">
            <w:pPr>
              <w:rPr>
                <w:rFonts w:ascii="宋体" w:hAnsi="宋体" w:eastAsia="宋体"/>
                <w:sz w:val="22"/>
                <w:szCs w:val="22"/>
              </w:rPr>
            </w:pPr>
          </w:p>
        </w:tc>
        <w:tc>
          <w:tcPr>
            <w:tcW w:w="2125" w:type="dxa"/>
            <w:noWrap/>
            <w:tcMar>
              <w:top w:w="0" w:type="dxa"/>
              <w:left w:w="108" w:type="dxa"/>
              <w:bottom w:w="0" w:type="dxa"/>
              <w:right w:w="108" w:type="dxa"/>
            </w:tcMar>
          </w:tcPr>
          <w:p w14:paraId="7CC2B495">
            <w:pPr>
              <w:rPr>
                <w:rFonts w:ascii="宋体" w:hAnsi="宋体" w:eastAsia="宋体"/>
                <w:sz w:val="22"/>
                <w:szCs w:val="22"/>
              </w:rPr>
            </w:pPr>
          </w:p>
        </w:tc>
      </w:tr>
      <w:tr w14:paraId="038A3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51" w:type="dxa"/>
            <w:vMerge w:val="continue"/>
            <w:vAlign w:val="center"/>
          </w:tcPr>
          <w:p w14:paraId="60313868">
            <w:pPr>
              <w:widowControl/>
              <w:jc w:val="left"/>
              <w:rPr>
                <w:rFonts w:ascii="宋体" w:hAnsi="宋体" w:eastAsia="宋体"/>
                <w:sz w:val="22"/>
                <w:szCs w:val="22"/>
              </w:rPr>
            </w:pPr>
          </w:p>
        </w:tc>
        <w:tc>
          <w:tcPr>
            <w:tcW w:w="1276" w:type="dxa"/>
            <w:noWrap/>
            <w:tcMar>
              <w:top w:w="0" w:type="dxa"/>
              <w:left w:w="108" w:type="dxa"/>
              <w:bottom w:w="0" w:type="dxa"/>
              <w:right w:w="108" w:type="dxa"/>
            </w:tcMar>
            <w:vAlign w:val="center"/>
          </w:tcPr>
          <w:p w14:paraId="5B4DCCA4">
            <w:pPr>
              <w:rPr>
                <w:rFonts w:ascii="宋体" w:hAnsi="宋体" w:eastAsia="宋体"/>
                <w:sz w:val="22"/>
                <w:szCs w:val="22"/>
              </w:rPr>
            </w:pPr>
            <w:r>
              <w:rPr>
                <w:rFonts w:hint="eastAsia" w:ascii="宋体" w:hAnsi="宋体" w:eastAsia="宋体"/>
                <w:sz w:val="22"/>
                <w:szCs w:val="22"/>
              </w:rPr>
              <w:t>工作温度</w:t>
            </w:r>
          </w:p>
        </w:tc>
        <w:tc>
          <w:tcPr>
            <w:tcW w:w="2821" w:type="dxa"/>
            <w:noWrap/>
            <w:tcMar>
              <w:top w:w="0" w:type="dxa"/>
              <w:left w:w="108" w:type="dxa"/>
              <w:bottom w:w="0" w:type="dxa"/>
              <w:right w:w="108" w:type="dxa"/>
            </w:tcMar>
          </w:tcPr>
          <w:p w14:paraId="52B087C5">
            <w:pPr>
              <w:rPr>
                <w:rFonts w:ascii="宋体" w:hAnsi="宋体" w:eastAsia="宋体"/>
                <w:sz w:val="22"/>
                <w:szCs w:val="22"/>
              </w:rPr>
            </w:pPr>
            <w:r>
              <w:rPr>
                <w:rFonts w:hint="eastAsia" w:ascii="宋体" w:hAnsi="宋体" w:eastAsia="宋体"/>
                <w:sz w:val="22"/>
                <w:szCs w:val="22"/>
              </w:rPr>
              <w:t>-25℃—+85℃</w:t>
            </w:r>
          </w:p>
        </w:tc>
        <w:tc>
          <w:tcPr>
            <w:tcW w:w="1225" w:type="dxa"/>
            <w:noWrap/>
            <w:tcMar>
              <w:top w:w="0" w:type="dxa"/>
              <w:left w:w="108" w:type="dxa"/>
              <w:bottom w:w="0" w:type="dxa"/>
              <w:right w:w="108" w:type="dxa"/>
            </w:tcMar>
          </w:tcPr>
          <w:p w14:paraId="59556263">
            <w:pPr>
              <w:rPr>
                <w:rFonts w:ascii="宋体" w:hAnsi="宋体" w:eastAsia="宋体"/>
                <w:sz w:val="22"/>
                <w:szCs w:val="22"/>
              </w:rPr>
            </w:pPr>
          </w:p>
        </w:tc>
        <w:tc>
          <w:tcPr>
            <w:tcW w:w="1213" w:type="dxa"/>
            <w:noWrap/>
            <w:tcMar>
              <w:top w:w="0" w:type="dxa"/>
              <w:left w:w="108" w:type="dxa"/>
              <w:bottom w:w="0" w:type="dxa"/>
              <w:right w:w="108" w:type="dxa"/>
            </w:tcMar>
          </w:tcPr>
          <w:p w14:paraId="3BAC574B">
            <w:pPr>
              <w:rPr>
                <w:rFonts w:ascii="宋体" w:hAnsi="宋体" w:eastAsia="宋体"/>
                <w:sz w:val="22"/>
                <w:szCs w:val="22"/>
              </w:rPr>
            </w:pPr>
          </w:p>
        </w:tc>
        <w:tc>
          <w:tcPr>
            <w:tcW w:w="2125" w:type="dxa"/>
            <w:noWrap/>
            <w:tcMar>
              <w:top w:w="0" w:type="dxa"/>
              <w:left w:w="108" w:type="dxa"/>
              <w:bottom w:w="0" w:type="dxa"/>
              <w:right w:w="108" w:type="dxa"/>
            </w:tcMar>
          </w:tcPr>
          <w:p w14:paraId="2E804199">
            <w:pPr>
              <w:rPr>
                <w:rFonts w:ascii="宋体" w:hAnsi="宋体" w:eastAsia="宋体"/>
                <w:sz w:val="22"/>
                <w:szCs w:val="22"/>
              </w:rPr>
            </w:pPr>
          </w:p>
        </w:tc>
      </w:tr>
      <w:tr w14:paraId="712C757A">
        <w:tblPrEx>
          <w:tblCellMar>
            <w:top w:w="0" w:type="dxa"/>
            <w:left w:w="0" w:type="dxa"/>
            <w:bottom w:w="0" w:type="dxa"/>
            <w:right w:w="0" w:type="dxa"/>
          </w:tblCellMar>
        </w:tblPrEx>
        <w:tc>
          <w:tcPr>
            <w:tcW w:w="851" w:type="dxa"/>
            <w:vMerge w:val="continue"/>
            <w:vAlign w:val="center"/>
          </w:tcPr>
          <w:p w14:paraId="02CC09F0">
            <w:pPr>
              <w:widowControl/>
              <w:jc w:val="left"/>
              <w:rPr>
                <w:rFonts w:ascii="宋体" w:hAnsi="宋体" w:eastAsia="宋体"/>
                <w:sz w:val="22"/>
                <w:szCs w:val="22"/>
              </w:rPr>
            </w:pPr>
          </w:p>
        </w:tc>
        <w:tc>
          <w:tcPr>
            <w:tcW w:w="1276" w:type="dxa"/>
            <w:noWrap/>
            <w:tcMar>
              <w:top w:w="0" w:type="dxa"/>
              <w:left w:w="108" w:type="dxa"/>
              <w:bottom w:w="0" w:type="dxa"/>
              <w:right w:w="108" w:type="dxa"/>
            </w:tcMar>
            <w:vAlign w:val="center"/>
          </w:tcPr>
          <w:p w14:paraId="68A6011F">
            <w:pPr>
              <w:rPr>
                <w:rFonts w:ascii="宋体" w:hAnsi="宋体" w:eastAsia="宋体"/>
                <w:sz w:val="22"/>
                <w:szCs w:val="22"/>
              </w:rPr>
            </w:pPr>
            <w:r>
              <w:rPr>
                <w:rFonts w:hint="eastAsia" w:ascii="宋体" w:hAnsi="宋体" w:eastAsia="宋体"/>
                <w:sz w:val="22"/>
                <w:szCs w:val="22"/>
              </w:rPr>
              <w:t>非接触脱机交易时间</w:t>
            </w:r>
          </w:p>
        </w:tc>
        <w:tc>
          <w:tcPr>
            <w:tcW w:w="2821" w:type="dxa"/>
            <w:noWrap/>
            <w:tcMar>
              <w:top w:w="0" w:type="dxa"/>
              <w:left w:w="108" w:type="dxa"/>
              <w:bottom w:w="0" w:type="dxa"/>
              <w:right w:w="108" w:type="dxa"/>
            </w:tcMar>
          </w:tcPr>
          <w:p w14:paraId="4385E04D">
            <w:pPr>
              <w:rPr>
                <w:rFonts w:ascii="宋体" w:hAnsi="宋体" w:eastAsia="宋体"/>
                <w:sz w:val="22"/>
                <w:szCs w:val="22"/>
              </w:rPr>
            </w:pPr>
            <w:r>
              <w:rPr>
                <w:rFonts w:hint="eastAsia" w:ascii="宋体" w:hAnsi="宋体" w:eastAsia="宋体"/>
                <w:sz w:val="22"/>
                <w:szCs w:val="22"/>
              </w:rPr>
              <w:t>1024位标准电子现金交易时间≤500MS</w:t>
            </w:r>
          </w:p>
        </w:tc>
        <w:tc>
          <w:tcPr>
            <w:tcW w:w="1225" w:type="dxa"/>
            <w:noWrap/>
            <w:tcMar>
              <w:top w:w="0" w:type="dxa"/>
              <w:left w:w="108" w:type="dxa"/>
              <w:bottom w:w="0" w:type="dxa"/>
              <w:right w:w="108" w:type="dxa"/>
            </w:tcMar>
          </w:tcPr>
          <w:p w14:paraId="01FAB2E2">
            <w:pPr>
              <w:rPr>
                <w:rFonts w:ascii="宋体" w:hAnsi="宋体" w:eastAsia="宋体"/>
                <w:sz w:val="22"/>
                <w:szCs w:val="22"/>
              </w:rPr>
            </w:pPr>
          </w:p>
        </w:tc>
        <w:tc>
          <w:tcPr>
            <w:tcW w:w="1213" w:type="dxa"/>
            <w:noWrap/>
            <w:tcMar>
              <w:top w:w="0" w:type="dxa"/>
              <w:left w:w="108" w:type="dxa"/>
              <w:bottom w:w="0" w:type="dxa"/>
              <w:right w:w="108" w:type="dxa"/>
            </w:tcMar>
          </w:tcPr>
          <w:p w14:paraId="09AD3177">
            <w:pPr>
              <w:rPr>
                <w:rFonts w:ascii="宋体" w:hAnsi="宋体" w:eastAsia="宋体"/>
                <w:sz w:val="22"/>
                <w:szCs w:val="22"/>
              </w:rPr>
            </w:pPr>
          </w:p>
        </w:tc>
        <w:tc>
          <w:tcPr>
            <w:tcW w:w="2125" w:type="dxa"/>
            <w:noWrap/>
            <w:tcMar>
              <w:top w:w="0" w:type="dxa"/>
              <w:left w:w="108" w:type="dxa"/>
              <w:bottom w:w="0" w:type="dxa"/>
              <w:right w:w="108" w:type="dxa"/>
            </w:tcMar>
          </w:tcPr>
          <w:p w14:paraId="4FCFA8A7">
            <w:pPr>
              <w:rPr>
                <w:rFonts w:ascii="宋体" w:hAnsi="宋体" w:eastAsia="宋体"/>
                <w:sz w:val="22"/>
                <w:szCs w:val="22"/>
              </w:rPr>
            </w:pPr>
          </w:p>
        </w:tc>
      </w:tr>
      <w:tr w14:paraId="11B3D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51" w:type="dxa"/>
            <w:vMerge w:val="continue"/>
            <w:vAlign w:val="center"/>
          </w:tcPr>
          <w:p w14:paraId="041ED7D6">
            <w:pPr>
              <w:widowControl/>
              <w:jc w:val="left"/>
              <w:rPr>
                <w:rFonts w:ascii="宋体" w:hAnsi="宋体" w:eastAsia="宋体"/>
                <w:sz w:val="22"/>
                <w:szCs w:val="22"/>
              </w:rPr>
            </w:pPr>
          </w:p>
        </w:tc>
        <w:tc>
          <w:tcPr>
            <w:tcW w:w="1276" w:type="dxa"/>
            <w:noWrap/>
            <w:tcMar>
              <w:top w:w="0" w:type="dxa"/>
              <w:left w:w="108" w:type="dxa"/>
              <w:bottom w:w="0" w:type="dxa"/>
              <w:right w:w="108" w:type="dxa"/>
            </w:tcMar>
            <w:vAlign w:val="center"/>
          </w:tcPr>
          <w:p w14:paraId="2E4AD667">
            <w:pPr>
              <w:rPr>
                <w:rFonts w:ascii="宋体" w:hAnsi="宋体" w:eastAsia="宋体"/>
                <w:sz w:val="22"/>
                <w:szCs w:val="22"/>
              </w:rPr>
            </w:pPr>
            <w:r>
              <w:rPr>
                <w:rFonts w:hint="eastAsia" w:ascii="宋体" w:hAnsi="宋体" w:eastAsia="宋体"/>
                <w:sz w:val="22"/>
                <w:szCs w:val="22"/>
              </w:rPr>
              <w:t>通讯方式</w:t>
            </w:r>
          </w:p>
        </w:tc>
        <w:tc>
          <w:tcPr>
            <w:tcW w:w="2821" w:type="dxa"/>
            <w:noWrap/>
            <w:tcMar>
              <w:top w:w="0" w:type="dxa"/>
              <w:left w:w="108" w:type="dxa"/>
              <w:bottom w:w="0" w:type="dxa"/>
              <w:right w:w="108" w:type="dxa"/>
            </w:tcMar>
          </w:tcPr>
          <w:p w14:paraId="081006F6">
            <w:pPr>
              <w:rPr>
                <w:rFonts w:ascii="宋体" w:hAnsi="宋体" w:eastAsia="宋体"/>
                <w:sz w:val="22"/>
                <w:szCs w:val="22"/>
              </w:rPr>
            </w:pPr>
            <w:r>
              <w:rPr>
                <w:rFonts w:hint="eastAsia" w:ascii="宋体" w:hAnsi="宋体" w:eastAsia="宋体"/>
                <w:sz w:val="22"/>
                <w:szCs w:val="22"/>
              </w:rPr>
              <w:t>接触式双界面</w:t>
            </w:r>
          </w:p>
          <w:p w14:paraId="69E7C12A">
            <w:pPr>
              <w:rPr>
                <w:rFonts w:ascii="宋体" w:hAnsi="宋体" w:eastAsia="宋体"/>
                <w:sz w:val="22"/>
                <w:szCs w:val="22"/>
              </w:rPr>
            </w:pPr>
            <w:r>
              <w:rPr>
                <w:rFonts w:hint="eastAsia" w:ascii="宋体" w:hAnsi="宋体" w:eastAsia="宋体"/>
                <w:sz w:val="22"/>
                <w:szCs w:val="22"/>
              </w:rPr>
              <w:t>1、支持协议</w:t>
            </w:r>
          </w:p>
          <w:p w14:paraId="7AEA5221">
            <w:pPr>
              <w:rPr>
                <w:rFonts w:ascii="宋体" w:hAnsi="宋体" w:eastAsia="宋体"/>
                <w:sz w:val="22"/>
                <w:szCs w:val="22"/>
              </w:rPr>
            </w:pPr>
            <w:r>
              <w:rPr>
                <w:rFonts w:hint="eastAsia" w:ascii="宋体" w:hAnsi="宋体" w:eastAsia="宋体"/>
                <w:sz w:val="22"/>
                <w:szCs w:val="22"/>
              </w:rPr>
              <w:t>接触界面：ISO 7816 T=0/T=1，工作电压须支持3V、5V工作电压。</w:t>
            </w:r>
          </w:p>
          <w:p w14:paraId="0A5DAF15">
            <w:pPr>
              <w:rPr>
                <w:rFonts w:ascii="宋体" w:hAnsi="宋体" w:eastAsia="宋体"/>
                <w:sz w:val="22"/>
                <w:szCs w:val="22"/>
              </w:rPr>
            </w:pPr>
            <w:r>
              <w:rPr>
                <w:rFonts w:hint="eastAsia" w:ascii="宋体" w:hAnsi="宋体" w:eastAsia="宋体"/>
                <w:sz w:val="22"/>
                <w:szCs w:val="22"/>
              </w:rPr>
              <w:t>非接触界面：ISO 14443 Type A/B。</w:t>
            </w:r>
          </w:p>
          <w:p w14:paraId="47126C1B">
            <w:pPr>
              <w:rPr>
                <w:rFonts w:ascii="宋体" w:hAnsi="宋体" w:eastAsia="宋体"/>
                <w:sz w:val="22"/>
                <w:szCs w:val="22"/>
              </w:rPr>
            </w:pPr>
            <w:r>
              <w:rPr>
                <w:rFonts w:hint="eastAsia" w:ascii="宋体" w:hAnsi="宋体" w:eastAsia="宋体"/>
                <w:sz w:val="22"/>
                <w:szCs w:val="22"/>
              </w:rPr>
              <w:t>2、传输速率（Transmission Speed）</w:t>
            </w:r>
          </w:p>
          <w:p w14:paraId="28CA197B">
            <w:pPr>
              <w:rPr>
                <w:rFonts w:ascii="宋体" w:hAnsi="宋体" w:eastAsia="宋体"/>
                <w:sz w:val="22"/>
                <w:szCs w:val="22"/>
              </w:rPr>
            </w:pPr>
            <w:r>
              <w:rPr>
                <w:rFonts w:hint="eastAsia" w:ascii="宋体" w:hAnsi="宋体" w:eastAsia="宋体"/>
                <w:sz w:val="22"/>
                <w:szCs w:val="22"/>
              </w:rPr>
              <w:t>传输速率取值范围：接触界面9600bps - 115Kbps；非接触界面106Kbps及以上。</w:t>
            </w:r>
          </w:p>
        </w:tc>
        <w:tc>
          <w:tcPr>
            <w:tcW w:w="1225" w:type="dxa"/>
            <w:noWrap/>
            <w:tcMar>
              <w:top w:w="0" w:type="dxa"/>
              <w:left w:w="108" w:type="dxa"/>
              <w:bottom w:w="0" w:type="dxa"/>
              <w:right w:w="108" w:type="dxa"/>
            </w:tcMar>
          </w:tcPr>
          <w:p w14:paraId="6C405D12">
            <w:pPr>
              <w:rPr>
                <w:rFonts w:ascii="宋体" w:hAnsi="宋体" w:eastAsia="宋体"/>
                <w:sz w:val="22"/>
                <w:szCs w:val="22"/>
              </w:rPr>
            </w:pPr>
          </w:p>
        </w:tc>
        <w:tc>
          <w:tcPr>
            <w:tcW w:w="1213" w:type="dxa"/>
            <w:noWrap/>
            <w:tcMar>
              <w:top w:w="0" w:type="dxa"/>
              <w:left w:w="108" w:type="dxa"/>
              <w:bottom w:w="0" w:type="dxa"/>
              <w:right w:w="108" w:type="dxa"/>
            </w:tcMar>
          </w:tcPr>
          <w:p w14:paraId="7C3F7020">
            <w:pPr>
              <w:rPr>
                <w:rFonts w:ascii="宋体" w:hAnsi="宋体" w:eastAsia="宋体"/>
                <w:sz w:val="22"/>
                <w:szCs w:val="22"/>
              </w:rPr>
            </w:pPr>
          </w:p>
        </w:tc>
        <w:tc>
          <w:tcPr>
            <w:tcW w:w="2125" w:type="dxa"/>
            <w:noWrap/>
            <w:tcMar>
              <w:top w:w="0" w:type="dxa"/>
              <w:left w:w="108" w:type="dxa"/>
              <w:bottom w:w="0" w:type="dxa"/>
              <w:right w:w="108" w:type="dxa"/>
            </w:tcMar>
          </w:tcPr>
          <w:p w14:paraId="620B229D">
            <w:pPr>
              <w:rPr>
                <w:rFonts w:ascii="宋体" w:hAnsi="宋体" w:eastAsia="宋体"/>
                <w:sz w:val="22"/>
                <w:szCs w:val="22"/>
              </w:rPr>
            </w:pPr>
          </w:p>
        </w:tc>
      </w:tr>
      <w:tr w14:paraId="3BCF4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51" w:type="dxa"/>
            <w:vMerge w:val="continue"/>
            <w:vAlign w:val="center"/>
          </w:tcPr>
          <w:p w14:paraId="0627DE14">
            <w:pPr>
              <w:widowControl/>
              <w:jc w:val="left"/>
              <w:rPr>
                <w:rFonts w:ascii="宋体" w:hAnsi="宋体" w:eastAsia="宋体"/>
                <w:sz w:val="22"/>
                <w:szCs w:val="22"/>
              </w:rPr>
            </w:pPr>
          </w:p>
        </w:tc>
        <w:tc>
          <w:tcPr>
            <w:tcW w:w="1276" w:type="dxa"/>
            <w:noWrap/>
            <w:tcMar>
              <w:top w:w="0" w:type="dxa"/>
              <w:left w:w="108" w:type="dxa"/>
              <w:bottom w:w="0" w:type="dxa"/>
              <w:right w:w="108" w:type="dxa"/>
            </w:tcMar>
            <w:vAlign w:val="center"/>
          </w:tcPr>
          <w:p w14:paraId="427F66C1">
            <w:pPr>
              <w:rPr>
                <w:rFonts w:ascii="宋体" w:hAnsi="宋体" w:eastAsia="宋体"/>
                <w:sz w:val="22"/>
                <w:szCs w:val="22"/>
              </w:rPr>
            </w:pPr>
            <w:r>
              <w:rPr>
                <w:rFonts w:hint="eastAsia" w:ascii="宋体" w:hAnsi="宋体" w:eastAsia="宋体"/>
                <w:sz w:val="22"/>
                <w:szCs w:val="22"/>
              </w:rPr>
              <w:t>CPU</w:t>
            </w:r>
          </w:p>
        </w:tc>
        <w:tc>
          <w:tcPr>
            <w:tcW w:w="2821" w:type="dxa"/>
            <w:noWrap/>
            <w:tcMar>
              <w:top w:w="0" w:type="dxa"/>
              <w:left w:w="108" w:type="dxa"/>
              <w:bottom w:w="0" w:type="dxa"/>
              <w:right w:w="108" w:type="dxa"/>
            </w:tcMar>
          </w:tcPr>
          <w:p w14:paraId="2C95CA83">
            <w:pPr>
              <w:rPr>
                <w:rFonts w:ascii="宋体" w:hAnsi="宋体" w:eastAsia="宋体"/>
                <w:sz w:val="22"/>
                <w:szCs w:val="22"/>
              </w:rPr>
            </w:pPr>
            <w:r>
              <w:rPr>
                <w:rFonts w:hint="eastAsia" w:ascii="宋体" w:hAnsi="宋体" w:eastAsia="宋体"/>
                <w:sz w:val="22"/>
                <w:szCs w:val="22"/>
              </w:rPr>
              <w:t>8位及以上</w:t>
            </w:r>
          </w:p>
        </w:tc>
        <w:tc>
          <w:tcPr>
            <w:tcW w:w="1225" w:type="dxa"/>
            <w:noWrap/>
            <w:tcMar>
              <w:top w:w="0" w:type="dxa"/>
              <w:left w:w="108" w:type="dxa"/>
              <w:bottom w:w="0" w:type="dxa"/>
              <w:right w:w="108" w:type="dxa"/>
            </w:tcMar>
          </w:tcPr>
          <w:p w14:paraId="0986D99C">
            <w:pPr>
              <w:rPr>
                <w:rFonts w:ascii="宋体" w:hAnsi="宋体" w:eastAsia="宋体"/>
                <w:sz w:val="22"/>
                <w:szCs w:val="22"/>
              </w:rPr>
            </w:pPr>
          </w:p>
        </w:tc>
        <w:tc>
          <w:tcPr>
            <w:tcW w:w="1213" w:type="dxa"/>
            <w:noWrap/>
            <w:tcMar>
              <w:top w:w="0" w:type="dxa"/>
              <w:left w:w="108" w:type="dxa"/>
              <w:bottom w:w="0" w:type="dxa"/>
              <w:right w:w="108" w:type="dxa"/>
            </w:tcMar>
          </w:tcPr>
          <w:p w14:paraId="1556FD3B">
            <w:pPr>
              <w:rPr>
                <w:rFonts w:ascii="宋体" w:hAnsi="宋体" w:eastAsia="宋体"/>
                <w:sz w:val="22"/>
                <w:szCs w:val="22"/>
              </w:rPr>
            </w:pPr>
          </w:p>
        </w:tc>
        <w:tc>
          <w:tcPr>
            <w:tcW w:w="2125" w:type="dxa"/>
            <w:noWrap/>
            <w:tcMar>
              <w:top w:w="0" w:type="dxa"/>
              <w:left w:w="108" w:type="dxa"/>
              <w:bottom w:w="0" w:type="dxa"/>
              <w:right w:w="108" w:type="dxa"/>
            </w:tcMar>
          </w:tcPr>
          <w:p w14:paraId="7BA9D4A0">
            <w:pPr>
              <w:rPr>
                <w:rFonts w:ascii="宋体" w:hAnsi="宋体" w:eastAsia="宋体"/>
                <w:sz w:val="22"/>
                <w:szCs w:val="22"/>
              </w:rPr>
            </w:pPr>
          </w:p>
        </w:tc>
      </w:tr>
      <w:tr w14:paraId="19706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51" w:type="dxa"/>
            <w:vMerge w:val="continue"/>
            <w:vAlign w:val="center"/>
          </w:tcPr>
          <w:p w14:paraId="64438468">
            <w:pPr>
              <w:widowControl/>
              <w:jc w:val="left"/>
              <w:rPr>
                <w:rFonts w:ascii="宋体" w:hAnsi="宋体" w:eastAsia="宋体"/>
                <w:sz w:val="22"/>
                <w:szCs w:val="22"/>
              </w:rPr>
            </w:pPr>
          </w:p>
        </w:tc>
        <w:tc>
          <w:tcPr>
            <w:tcW w:w="1276" w:type="dxa"/>
            <w:noWrap/>
            <w:tcMar>
              <w:top w:w="0" w:type="dxa"/>
              <w:left w:w="108" w:type="dxa"/>
              <w:bottom w:w="0" w:type="dxa"/>
              <w:right w:w="108" w:type="dxa"/>
            </w:tcMar>
            <w:vAlign w:val="center"/>
          </w:tcPr>
          <w:p w14:paraId="0D3B6FB0">
            <w:pPr>
              <w:rPr>
                <w:rFonts w:ascii="宋体" w:hAnsi="宋体" w:eastAsia="宋体"/>
                <w:sz w:val="22"/>
                <w:szCs w:val="22"/>
              </w:rPr>
            </w:pPr>
            <w:r>
              <w:rPr>
                <w:rFonts w:hint="eastAsia" w:ascii="宋体" w:hAnsi="宋体" w:eastAsia="宋体"/>
                <w:sz w:val="22"/>
                <w:szCs w:val="22"/>
              </w:rPr>
              <w:t>密码处理器</w:t>
            </w:r>
          </w:p>
        </w:tc>
        <w:tc>
          <w:tcPr>
            <w:tcW w:w="2821" w:type="dxa"/>
            <w:noWrap/>
            <w:tcMar>
              <w:top w:w="0" w:type="dxa"/>
              <w:left w:w="108" w:type="dxa"/>
              <w:bottom w:w="0" w:type="dxa"/>
              <w:right w:w="108" w:type="dxa"/>
            </w:tcMar>
          </w:tcPr>
          <w:p w14:paraId="3C38679D">
            <w:pPr>
              <w:rPr>
                <w:rFonts w:ascii="宋体" w:hAnsi="宋体" w:eastAsia="宋体"/>
                <w:sz w:val="22"/>
                <w:szCs w:val="22"/>
              </w:rPr>
            </w:pPr>
            <w:r>
              <w:rPr>
                <w:rFonts w:hint="eastAsia" w:ascii="宋体" w:hAnsi="宋体" w:eastAsia="宋体"/>
                <w:sz w:val="22"/>
                <w:szCs w:val="22"/>
              </w:rPr>
              <w:t>芯片提供硬件RSA处理器和硬件随机数发生器。提供硬件加密算法，国际算法要支持对称体系的DES、3DES算法，非对称体系的RSA算法。国密算法要支持对称体系的SM4算法，非对称要支持SM2算法；支持1024位以上RSA 密钥及256位以上SM2密钥，及1024位以DDA\CDA(CDA非强制)。支持国密的SM2/SM3/SM4等国密算法；芯片卡需要实现DDA\CDA(CDA非强制)卡片验证方法以及其他PBOC安全规范中要求的加解密功能包括脱机PIN验证，发卡行认证，脚本解密和验证处理</w:t>
            </w:r>
          </w:p>
        </w:tc>
        <w:tc>
          <w:tcPr>
            <w:tcW w:w="1225" w:type="dxa"/>
            <w:noWrap/>
            <w:tcMar>
              <w:top w:w="0" w:type="dxa"/>
              <w:left w:w="108" w:type="dxa"/>
              <w:bottom w:w="0" w:type="dxa"/>
              <w:right w:w="108" w:type="dxa"/>
            </w:tcMar>
          </w:tcPr>
          <w:p w14:paraId="5AEBC01C">
            <w:pPr>
              <w:rPr>
                <w:rFonts w:ascii="宋体" w:hAnsi="宋体" w:eastAsia="宋体"/>
                <w:sz w:val="22"/>
                <w:szCs w:val="22"/>
              </w:rPr>
            </w:pPr>
          </w:p>
        </w:tc>
        <w:tc>
          <w:tcPr>
            <w:tcW w:w="1213" w:type="dxa"/>
            <w:noWrap/>
            <w:tcMar>
              <w:top w:w="0" w:type="dxa"/>
              <w:left w:w="108" w:type="dxa"/>
              <w:bottom w:w="0" w:type="dxa"/>
              <w:right w:w="108" w:type="dxa"/>
            </w:tcMar>
          </w:tcPr>
          <w:p w14:paraId="2135D65A">
            <w:pPr>
              <w:rPr>
                <w:rFonts w:ascii="宋体" w:hAnsi="宋体" w:eastAsia="宋体"/>
                <w:sz w:val="22"/>
                <w:szCs w:val="22"/>
              </w:rPr>
            </w:pPr>
          </w:p>
        </w:tc>
        <w:tc>
          <w:tcPr>
            <w:tcW w:w="2125" w:type="dxa"/>
            <w:noWrap/>
            <w:tcMar>
              <w:top w:w="0" w:type="dxa"/>
              <w:left w:w="108" w:type="dxa"/>
              <w:bottom w:w="0" w:type="dxa"/>
              <w:right w:w="108" w:type="dxa"/>
            </w:tcMar>
          </w:tcPr>
          <w:p w14:paraId="2C9FBC49">
            <w:pPr>
              <w:rPr>
                <w:rFonts w:ascii="宋体" w:hAnsi="宋体" w:eastAsia="宋体"/>
                <w:sz w:val="22"/>
                <w:szCs w:val="22"/>
              </w:rPr>
            </w:pPr>
          </w:p>
        </w:tc>
      </w:tr>
      <w:tr w14:paraId="55D50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51" w:type="dxa"/>
            <w:vMerge w:val="restart"/>
            <w:noWrap/>
            <w:tcMar>
              <w:top w:w="0" w:type="dxa"/>
              <w:left w:w="108" w:type="dxa"/>
              <w:bottom w:w="0" w:type="dxa"/>
              <w:right w:w="108" w:type="dxa"/>
            </w:tcMar>
            <w:vAlign w:val="center"/>
          </w:tcPr>
          <w:p w14:paraId="57E20724">
            <w:pPr>
              <w:jc w:val="center"/>
              <w:rPr>
                <w:rFonts w:ascii="宋体" w:hAnsi="宋体" w:eastAsia="宋体"/>
                <w:sz w:val="22"/>
                <w:szCs w:val="22"/>
              </w:rPr>
            </w:pPr>
            <w:r>
              <w:rPr>
                <w:rFonts w:hint="eastAsia" w:ascii="宋体" w:hAnsi="宋体" w:eastAsia="宋体"/>
                <w:sz w:val="22"/>
                <w:szCs w:val="22"/>
              </w:rPr>
              <w:t>5</w:t>
            </w:r>
          </w:p>
        </w:tc>
        <w:tc>
          <w:tcPr>
            <w:tcW w:w="4097" w:type="dxa"/>
            <w:gridSpan w:val="2"/>
            <w:noWrap/>
            <w:tcMar>
              <w:top w:w="0" w:type="dxa"/>
              <w:left w:w="108" w:type="dxa"/>
              <w:bottom w:w="0" w:type="dxa"/>
              <w:right w:w="108" w:type="dxa"/>
            </w:tcMar>
            <w:vAlign w:val="center"/>
          </w:tcPr>
          <w:p w14:paraId="1538CBA5">
            <w:pPr>
              <w:rPr>
                <w:rFonts w:ascii="宋体" w:hAnsi="宋体" w:eastAsia="宋体"/>
                <w:sz w:val="22"/>
                <w:szCs w:val="22"/>
              </w:rPr>
            </w:pPr>
            <w:r>
              <w:rPr>
                <w:rFonts w:hint="eastAsia" w:ascii="宋体" w:hAnsi="宋体" w:eastAsia="宋体"/>
                <w:sz w:val="22"/>
                <w:szCs w:val="22"/>
              </w:rPr>
              <w:t>COS技术要求：本项目中使用的芯片型号对应的COS（卡内操作系统）必须能通过相关应用检测。</w:t>
            </w:r>
          </w:p>
        </w:tc>
        <w:tc>
          <w:tcPr>
            <w:tcW w:w="1225" w:type="dxa"/>
            <w:noWrap/>
            <w:tcMar>
              <w:top w:w="0" w:type="dxa"/>
              <w:left w:w="108" w:type="dxa"/>
              <w:bottom w:w="0" w:type="dxa"/>
              <w:right w:w="108" w:type="dxa"/>
            </w:tcMar>
            <w:vAlign w:val="center"/>
          </w:tcPr>
          <w:p w14:paraId="3EE92B12">
            <w:pPr>
              <w:rPr>
                <w:rFonts w:ascii="宋体" w:hAnsi="宋体" w:eastAsia="宋体"/>
                <w:sz w:val="22"/>
                <w:szCs w:val="22"/>
              </w:rPr>
            </w:pPr>
          </w:p>
        </w:tc>
        <w:tc>
          <w:tcPr>
            <w:tcW w:w="1213" w:type="dxa"/>
            <w:noWrap/>
            <w:tcMar>
              <w:top w:w="0" w:type="dxa"/>
              <w:left w:w="108" w:type="dxa"/>
              <w:bottom w:w="0" w:type="dxa"/>
              <w:right w:w="108" w:type="dxa"/>
            </w:tcMar>
            <w:vAlign w:val="center"/>
          </w:tcPr>
          <w:p w14:paraId="122618E0">
            <w:pPr>
              <w:rPr>
                <w:rFonts w:ascii="宋体" w:hAnsi="宋体" w:eastAsia="宋体"/>
                <w:sz w:val="22"/>
                <w:szCs w:val="22"/>
              </w:rPr>
            </w:pPr>
          </w:p>
        </w:tc>
        <w:tc>
          <w:tcPr>
            <w:tcW w:w="2125" w:type="dxa"/>
            <w:noWrap/>
            <w:tcMar>
              <w:top w:w="0" w:type="dxa"/>
              <w:left w:w="108" w:type="dxa"/>
              <w:bottom w:w="0" w:type="dxa"/>
              <w:right w:w="108" w:type="dxa"/>
            </w:tcMar>
            <w:vAlign w:val="center"/>
          </w:tcPr>
          <w:p w14:paraId="3C43C16A">
            <w:pPr>
              <w:rPr>
                <w:rFonts w:ascii="宋体" w:hAnsi="宋体" w:eastAsia="宋体"/>
                <w:sz w:val="22"/>
                <w:szCs w:val="22"/>
              </w:rPr>
            </w:pPr>
          </w:p>
        </w:tc>
      </w:tr>
      <w:tr w14:paraId="79975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51" w:type="dxa"/>
            <w:vMerge w:val="continue"/>
            <w:vAlign w:val="center"/>
          </w:tcPr>
          <w:p w14:paraId="20420E0B">
            <w:pPr>
              <w:widowControl/>
              <w:jc w:val="left"/>
              <w:rPr>
                <w:rFonts w:ascii="宋体" w:hAnsi="宋体" w:eastAsia="宋体"/>
                <w:sz w:val="22"/>
                <w:szCs w:val="22"/>
              </w:rPr>
            </w:pPr>
          </w:p>
        </w:tc>
        <w:tc>
          <w:tcPr>
            <w:tcW w:w="4097" w:type="dxa"/>
            <w:gridSpan w:val="2"/>
            <w:noWrap/>
            <w:tcMar>
              <w:top w:w="0" w:type="dxa"/>
              <w:left w:w="108" w:type="dxa"/>
              <w:bottom w:w="0" w:type="dxa"/>
              <w:right w:w="108" w:type="dxa"/>
            </w:tcMar>
            <w:vAlign w:val="center"/>
          </w:tcPr>
          <w:p w14:paraId="21217A6A">
            <w:pPr>
              <w:rPr>
                <w:rFonts w:ascii="宋体" w:hAnsi="宋体" w:eastAsia="宋体"/>
                <w:sz w:val="22"/>
                <w:szCs w:val="22"/>
              </w:rPr>
            </w:pPr>
            <w:r>
              <w:rPr>
                <w:rFonts w:hint="eastAsia" w:ascii="宋体" w:hAnsi="宋体" w:eastAsia="宋体"/>
                <w:sz w:val="22"/>
                <w:szCs w:val="22"/>
              </w:rPr>
              <w:t>COS拥有自主知识产权，支持多安全域管理，支持多应用</w:t>
            </w:r>
          </w:p>
        </w:tc>
        <w:tc>
          <w:tcPr>
            <w:tcW w:w="1225" w:type="dxa"/>
            <w:noWrap/>
            <w:tcMar>
              <w:top w:w="0" w:type="dxa"/>
              <w:left w:w="108" w:type="dxa"/>
              <w:bottom w:w="0" w:type="dxa"/>
              <w:right w:w="108" w:type="dxa"/>
            </w:tcMar>
            <w:vAlign w:val="center"/>
          </w:tcPr>
          <w:p w14:paraId="1C61F3C0">
            <w:pPr>
              <w:rPr>
                <w:rFonts w:ascii="宋体" w:hAnsi="宋体" w:eastAsia="宋体"/>
                <w:sz w:val="22"/>
                <w:szCs w:val="22"/>
              </w:rPr>
            </w:pPr>
          </w:p>
        </w:tc>
        <w:tc>
          <w:tcPr>
            <w:tcW w:w="1213" w:type="dxa"/>
            <w:noWrap/>
            <w:tcMar>
              <w:top w:w="0" w:type="dxa"/>
              <w:left w:w="108" w:type="dxa"/>
              <w:bottom w:w="0" w:type="dxa"/>
              <w:right w:w="108" w:type="dxa"/>
            </w:tcMar>
            <w:vAlign w:val="center"/>
          </w:tcPr>
          <w:p w14:paraId="74D0CBE9">
            <w:pPr>
              <w:rPr>
                <w:rFonts w:ascii="宋体" w:hAnsi="宋体" w:eastAsia="宋体"/>
                <w:sz w:val="22"/>
                <w:szCs w:val="22"/>
              </w:rPr>
            </w:pPr>
          </w:p>
        </w:tc>
        <w:tc>
          <w:tcPr>
            <w:tcW w:w="2125" w:type="dxa"/>
            <w:noWrap/>
            <w:tcMar>
              <w:top w:w="0" w:type="dxa"/>
              <w:left w:w="108" w:type="dxa"/>
              <w:bottom w:w="0" w:type="dxa"/>
              <w:right w:w="108" w:type="dxa"/>
            </w:tcMar>
            <w:vAlign w:val="center"/>
          </w:tcPr>
          <w:p w14:paraId="78F9450F">
            <w:pPr>
              <w:rPr>
                <w:rFonts w:ascii="宋体" w:hAnsi="宋体" w:eastAsia="宋体"/>
                <w:sz w:val="22"/>
                <w:szCs w:val="22"/>
              </w:rPr>
            </w:pPr>
          </w:p>
        </w:tc>
      </w:tr>
      <w:tr w14:paraId="4DD43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51" w:type="dxa"/>
            <w:vMerge w:val="continue"/>
            <w:vAlign w:val="center"/>
          </w:tcPr>
          <w:p w14:paraId="165A1E21">
            <w:pPr>
              <w:widowControl/>
              <w:jc w:val="left"/>
              <w:rPr>
                <w:rFonts w:ascii="宋体" w:hAnsi="宋体" w:eastAsia="宋体"/>
                <w:sz w:val="22"/>
                <w:szCs w:val="22"/>
              </w:rPr>
            </w:pPr>
          </w:p>
        </w:tc>
        <w:tc>
          <w:tcPr>
            <w:tcW w:w="4097" w:type="dxa"/>
            <w:gridSpan w:val="2"/>
            <w:noWrap/>
            <w:tcMar>
              <w:top w:w="0" w:type="dxa"/>
              <w:left w:w="108" w:type="dxa"/>
              <w:bottom w:w="0" w:type="dxa"/>
              <w:right w:w="108" w:type="dxa"/>
            </w:tcMar>
            <w:vAlign w:val="center"/>
          </w:tcPr>
          <w:p w14:paraId="1A42A431">
            <w:pPr>
              <w:rPr>
                <w:rFonts w:ascii="宋体" w:hAnsi="宋体" w:eastAsia="宋体"/>
                <w:sz w:val="22"/>
                <w:szCs w:val="22"/>
              </w:rPr>
            </w:pPr>
            <w:r>
              <w:rPr>
                <w:rFonts w:hint="eastAsia" w:ascii="宋体" w:hAnsi="宋体" w:eastAsia="宋体"/>
                <w:sz w:val="22"/>
                <w:szCs w:val="22"/>
              </w:rPr>
              <w:t>COS能够通过我行的相关应用检测或银行卡检测中心等相关检测机构检测，且检测报告在有效期范围内</w:t>
            </w:r>
          </w:p>
        </w:tc>
        <w:tc>
          <w:tcPr>
            <w:tcW w:w="1225" w:type="dxa"/>
            <w:noWrap/>
            <w:tcMar>
              <w:top w:w="0" w:type="dxa"/>
              <w:left w:w="108" w:type="dxa"/>
              <w:bottom w:w="0" w:type="dxa"/>
              <w:right w:w="108" w:type="dxa"/>
            </w:tcMar>
            <w:vAlign w:val="center"/>
          </w:tcPr>
          <w:p w14:paraId="09A1BB3A">
            <w:pPr>
              <w:rPr>
                <w:rFonts w:ascii="宋体" w:hAnsi="宋体" w:eastAsia="宋体"/>
                <w:sz w:val="22"/>
                <w:szCs w:val="22"/>
              </w:rPr>
            </w:pPr>
          </w:p>
        </w:tc>
        <w:tc>
          <w:tcPr>
            <w:tcW w:w="1213" w:type="dxa"/>
            <w:noWrap/>
            <w:tcMar>
              <w:top w:w="0" w:type="dxa"/>
              <w:left w:w="108" w:type="dxa"/>
              <w:bottom w:w="0" w:type="dxa"/>
              <w:right w:w="108" w:type="dxa"/>
            </w:tcMar>
            <w:vAlign w:val="center"/>
          </w:tcPr>
          <w:p w14:paraId="1C98683B">
            <w:pPr>
              <w:rPr>
                <w:rFonts w:ascii="宋体" w:hAnsi="宋体" w:eastAsia="宋体"/>
                <w:sz w:val="22"/>
                <w:szCs w:val="22"/>
              </w:rPr>
            </w:pPr>
          </w:p>
        </w:tc>
        <w:tc>
          <w:tcPr>
            <w:tcW w:w="2125" w:type="dxa"/>
            <w:noWrap/>
            <w:tcMar>
              <w:top w:w="0" w:type="dxa"/>
              <w:left w:w="108" w:type="dxa"/>
              <w:bottom w:w="0" w:type="dxa"/>
              <w:right w:w="108" w:type="dxa"/>
            </w:tcMar>
            <w:vAlign w:val="center"/>
          </w:tcPr>
          <w:p w14:paraId="72E90680">
            <w:pPr>
              <w:rPr>
                <w:rFonts w:ascii="宋体" w:hAnsi="宋体" w:eastAsia="宋体"/>
                <w:sz w:val="22"/>
                <w:szCs w:val="22"/>
              </w:rPr>
            </w:pPr>
          </w:p>
        </w:tc>
      </w:tr>
      <w:tr w14:paraId="46A64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51" w:type="dxa"/>
            <w:vMerge w:val="continue"/>
            <w:vAlign w:val="center"/>
          </w:tcPr>
          <w:p w14:paraId="347AAB9F">
            <w:pPr>
              <w:widowControl/>
              <w:jc w:val="left"/>
              <w:rPr>
                <w:rFonts w:ascii="宋体" w:hAnsi="宋体" w:eastAsia="宋体"/>
                <w:sz w:val="22"/>
                <w:szCs w:val="22"/>
              </w:rPr>
            </w:pPr>
          </w:p>
        </w:tc>
        <w:tc>
          <w:tcPr>
            <w:tcW w:w="4097" w:type="dxa"/>
            <w:gridSpan w:val="2"/>
            <w:noWrap/>
            <w:tcMar>
              <w:top w:w="0" w:type="dxa"/>
              <w:left w:w="108" w:type="dxa"/>
              <w:bottom w:w="0" w:type="dxa"/>
              <w:right w:w="108" w:type="dxa"/>
            </w:tcMar>
            <w:vAlign w:val="center"/>
          </w:tcPr>
          <w:p w14:paraId="6116B54C">
            <w:pPr>
              <w:rPr>
                <w:rFonts w:ascii="宋体" w:hAnsi="宋体" w:eastAsia="宋体"/>
                <w:sz w:val="22"/>
                <w:szCs w:val="22"/>
              </w:rPr>
            </w:pPr>
            <w:r>
              <w:rPr>
                <w:rFonts w:hint="eastAsia" w:ascii="宋体" w:hAnsi="宋体" w:eastAsia="宋体"/>
                <w:sz w:val="22"/>
                <w:szCs w:val="22"/>
              </w:rPr>
              <w:t xml:space="preserve">通过银行卡检测中心的安全检测 </w:t>
            </w:r>
          </w:p>
        </w:tc>
        <w:tc>
          <w:tcPr>
            <w:tcW w:w="1225" w:type="dxa"/>
            <w:noWrap/>
            <w:tcMar>
              <w:top w:w="0" w:type="dxa"/>
              <w:left w:w="108" w:type="dxa"/>
              <w:bottom w:w="0" w:type="dxa"/>
              <w:right w:w="108" w:type="dxa"/>
            </w:tcMar>
            <w:vAlign w:val="center"/>
          </w:tcPr>
          <w:p w14:paraId="3F3609D6">
            <w:pPr>
              <w:rPr>
                <w:rFonts w:ascii="宋体" w:hAnsi="宋体" w:eastAsia="宋体"/>
                <w:sz w:val="22"/>
                <w:szCs w:val="22"/>
              </w:rPr>
            </w:pPr>
          </w:p>
        </w:tc>
        <w:tc>
          <w:tcPr>
            <w:tcW w:w="1213" w:type="dxa"/>
            <w:noWrap/>
            <w:tcMar>
              <w:top w:w="0" w:type="dxa"/>
              <w:left w:w="108" w:type="dxa"/>
              <w:bottom w:w="0" w:type="dxa"/>
              <w:right w:w="108" w:type="dxa"/>
            </w:tcMar>
            <w:vAlign w:val="center"/>
          </w:tcPr>
          <w:p w14:paraId="17243FCB">
            <w:pPr>
              <w:rPr>
                <w:rFonts w:ascii="宋体" w:hAnsi="宋体" w:eastAsia="宋体"/>
                <w:sz w:val="22"/>
                <w:szCs w:val="22"/>
              </w:rPr>
            </w:pPr>
          </w:p>
        </w:tc>
        <w:tc>
          <w:tcPr>
            <w:tcW w:w="2125" w:type="dxa"/>
            <w:noWrap/>
            <w:tcMar>
              <w:top w:w="0" w:type="dxa"/>
              <w:left w:w="108" w:type="dxa"/>
              <w:bottom w:w="0" w:type="dxa"/>
              <w:right w:w="108" w:type="dxa"/>
            </w:tcMar>
            <w:vAlign w:val="center"/>
          </w:tcPr>
          <w:p w14:paraId="39F3D49A">
            <w:pPr>
              <w:rPr>
                <w:rFonts w:ascii="宋体" w:hAnsi="宋体" w:eastAsia="宋体"/>
                <w:sz w:val="22"/>
                <w:szCs w:val="22"/>
              </w:rPr>
            </w:pPr>
          </w:p>
        </w:tc>
      </w:tr>
      <w:tr w14:paraId="3BD13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51" w:type="dxa"/>
            <w:vMerge w:val="restart"/>
            <w:noWrap/>
            <w:tcMar>
              <w:top w:w="0" w:type="dxa"/>
              <w:left w:w="108" w:type="dxa"/>
              <w:bottom w:w="0" w:type="dxa"/>
              <w:right w:w="108" w:type="dxa"/>
            </w:tcMar>
            <w:vAlign w:val="center"/>
          </w:tcPr>
          <w:p w14:paraId="7B1DADD3">
            <w:pPr>
              <w:jc w:val="center"/>
              <w:rPr>
                <w:rFonts w:ascii="宋体" w:hAnsi="宋体" w:eastAsia="宋体"/>
                <w:sz w:val="22"/>
                <w:szCs w:val="22"/>
              </w:rPr>
            </w:pPr>
            <w:r>
              <w:rPr>
                <w:rFonts w:hint="eastAsia" w:ascii="宋体" w:hAnsi="宋体" w:eastAsia="宋体"/>
                <w:sz w:val="22"/>
                <w:szCs w:val="22"/>
              </w:rPr>
              <w:t>6</w:t>
            </w:r>
          </w:p>
        </w:tc>
        <w:tc>
          <w:tcPr>
            <w:tcW w:w="4097" w:type="dxa"/>
            <w:gridSpan w:val="2"/>
            <w:noWrap/>
            <w:tcMar>
              <w:top w:w="0" w:type="dxa"/>
              <w:left w:w="108" w:type="dxa"/>
              <w:bottom w:w="0" w:type="dxa"/>
              <w:right w:w="108" w:type="dxa"/>
            </w:tcMar>
            <w:vAlign w:val="center"/>
          </w:tcPr>
          <w:p w14:paraId="3CA25FBA">
            <w:pPr>
              <w:rPr>
                <w:rFonts w:ascii="宋体" w:hAnsi="宋体" w:eastAsia="宋体"/>
                <w:sz w:val="22"/>
                <w:szCs w:val="22"/>
              </w:rPr>
            </w:pPr>
            <w:r>
              <w:rPr>
                <w:rFonts w:hint="eastAsia" w:ascii="宋体" w:hAnsi="宋体" w:eastAsia="宋体"/>
                <w:sz w:val="22"/>
                <w:szCs w:val="22"/>
              </w:rPr>
              <w:t>卡片印刷质量</w:t>
            </w:r>
          </w:p>
        </w:tc>
        <w:tc>
          <w:tcPr>
            <w:tcW w:w="1225" w:type="dxa"/>
            <w:noWrap/>
            <w:tcMar>
              <w:top w:w="0" w:type="dxa"/>
              <w:left w:w="108" w:type="dxa"/>
              <w:bottom w:w="0" w:type="dxa"/>
              <w:right w:w="108" w:type="dxa"/>
            </w:tcMar>
            <w:vAlign w:val="center"/>
          </w:tcPr>
          <w:p w14:paraId="3C3F47F3">
            <w:pPr>
              <w:rPr>
                <w:rFonts w:ascii="宋体" w:hAnsi="宋体" w:eastAsia="宋体"/>
                <w:sz w:val="22"/>
                <w:szCs w:val="22"/>
              </w:rPr>
            </w:pPr>
          </w:p>
        </w:tc>
        <w:tc>
          <w:tcPr>
            <w:tcW w:w="1213" w:type="dxa"/>
            <w:noWrap/>
            <w:tcMar>
              <w:top w:w="0" w:type="dxa"/>
              <w:left w:w="108" w:type="dxa"/>
              <w:bottom w:w="0" w:type="dxa"/>
              <w:right w:w="108" w:type="dxa"/>
            </w:tcMar>
            <w:vAlign w:val="center"/>
          </w:tcPr>
          <w:p w14:paraId="62B805E6">
            <w:pPr>
              <w:rPr>
                <w:rFonts w:ascii="宋体" w:hAnsi="宋体" w:eastAsia="宋体"/>
                <w:sz w:val="22"/>
                <w:szCs w:val="22"/>
              </w:rPr>
            </w:pPr>
          </w:p>
        </w:tc>
        <w:tc>
          <w:tcPr>
            <w:tcW w:w="2125" w:type="dxa"/>
            <w:noWrap/>
            <w:tcMar>
              <w:top w:w="0" w:type="dxa"/>
              <w:left w:w="108" w:type="dxa"/>
              <w:bottom w:w="0" w:type="dxa"/>
              <w:right w:w="108" w:type="dxa"/>
            </w:tcMar>
            <w:vAlign w:val="center"/>
          </w:tcPr>
          <w:p w14:paraId="44C235C4">
            <w:pPr>
              <w:rPr>
                <w:rFonts w:ascii="宋体" w:hAnsi="宋体" w:eastAsia="宋体"/>
                <w:sz w:val="22"/>
                <w:szCs w:val="22"/>
              </w:rPr>
            </w:pPr>
          </w:p>
        </w:tc>
      </w:tr>
      <w:tr w14:paraId="0AFE1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51" w:type="dxa"/>
            <w:vMerge w:val="continue"/>
            <w:vAlign w:val="center"/>
          </w:tcPr>
          <w:p w14:paraId="1D0EB0E1">
            <w:pPr>
              <w:widowControl/>
              <w:jc w:val="left"/>
              <w:rPr>
                <w:rFonts w:ascii="宋体" w:hAnsi="宋体" w:eastAsia="宋体"/>
                <w:sz w:val="22"/>
                <w:szCs w:val="22"/>
              </w:rPr>
            </w:pPr>
          </w:p>
        </w:tc>
        <w:tc>
          <w:tcPr>
            <w:tcW w:w="1276" w:type="dxa"/>
            <w:noWrap/>
            <w:tcMar>
              <w:top w:w="0" w:type="dxa"/>
              <w:left w:w="108" w:type="dxa"/>
              <w:bottom w:w="0" w:type="dxa"/>
              <w:right w:w="108" w:type="dxa"/>
            </w:tcMar>
            <w:vAlign w:val="center"/>
          </w:tcPr>
          <w:p w14:paraId="57A46E3F">
            <w:pPr>
              <w:rPr>
                <w:rFonts w:ascii="宋体" w:hAnsi="宋体" w:eastAsia="宋体"/>
                <w:sz w:val="22"/>
                <w:szCs w:val="22"/>
              </w:rPr>
            </w:pPr>
            <w:r>
              <w:rPr>
                <w:rFonts w:hint="eastAsia" w:ascii="宋体" w:hAnsi="宋体" w:eastAsia="宋体"/>
                <w:sz w:val="22"/>
                <w:szCs w:val="22"/>
              </w:rPr>
              <w:t>卡体要求</w:t>
            </w:r>
          </w:p>
        </w:tc>
        <w:tc>
          <w:tcPr>
            <w:tcW w:w="2821" w:type="dxa"/>
            <w:noWrap/>
            <w:tcMar>
              <w:top w:w="0" w:type="dxa"/>
              <w:left w:w="108" w:type="dxa"/>
              <w:bottom w:w="0" w:type="dxa"/>
              <w:right w:w="108" w:type="dxa"/>
            </w:tcMar>
          </w:tcPr>
          <w:p w14:paraId="5A263DCD">
            <w:pPr>
              <w:rPr>
                <w:rFonts w:ascii="宋体" w:hAnsi="宋体" w:eastAsia="宋体"/>
                <w:sz w:val="22"/>
                <w:szCs w:val="22"/>
              </w:rPr>
            </w:pPr>
            <w:r>
              <w:rPr>
                <w:rFonts w:hint="eastAsia" w:ascii="宋体" w:hAnsi="宋体" w:eastAsia="宋体"/>
                <w:sz w:val="22"/>
                <w:szCs w:val="22"/>
              </w:rPr>
              <w:t>卡体图案按客户要求设计的图案进行印刷，卡体印刷图案、文字清晰、不缺笔短划、无白点、墨皮、暗淡堆糊</w:t>
            </w:r>
          </w:p>
        </w:tc>
        <w:tc>
          <w:tcPr>
            <w:tcW w:w="1225" w:type="dxa"/>
            <w:noWrap/>
            <w:tcMar>
              <w:top w:w="0" w:type="dxa"/>
              <w:left w:w="108" w:type="dxa"/>
              <w:bottom w:w="0" w:type="dxa"/>
              <w:right w:w="108" w:type="dxa"/>
            </w:tcMar>
          </w:tcPr>
          <w:p w14:paraId="081DD64A">
            <w:pPr>
              <w:rPr>
                <w:rFonts w:ascii="宋体" w:hAnsi="宋体" w:eastAsia="宋体"/>
                <w:sz w:val="22"/>
                <w:szCs w:val="22"/>
              </w:rPr>
            </w:pPr>
          </w:p>
        </w:tc>
        <w:tc>
          <w:tcPr>
            <w:tcW w:w="1213" w:type="dxa"/>
            <w:noWrap/>
            <w:tcMar>
              <w:top w:w="0" w:type="dxa"/>
              <w:left w:w="108" w:type="dxa"/>
              <w:bottom w:w="0" w:type="dxa"/>
              <w:right w:w="108" w:type="dxa"/>
            </w:tcMar>
          </w:tcPr>
          <w:p w14:paraId="7BB28F2C">
            <w:pPr>
              <w:rPr>
                <w:rFonts w:ascii="宋体" w:hAnsi="宋体" w:eastAsia="宋体"/>
                <w:sz w:val="22"/>
                <w:szCs w:val="22"/>
              </w:rPr>
            </w:pPr>
          </w:p>
        </w:tc>
        <w:tc>
          <w:tcPr>
            <w:tcW w:w="2125" w:type="dxa"/>
            <w:noWrap/>
            <w:tcMar>
              <w:top w:w="0" w:type="dxa"/>
              <w:left w:w="108" w:type="dxa"/>
              <w:bottom w:w="0" w:type="dxa"/>
              <w:right w:w="108" w:type="dxa"/>
            </w:tcMar>
          </w:tcPr>
          <w:p w14:paraId="19D3C535">
            <w:pPr>
              <w:rPr>
                <w:rFonts w:ascii="宋体" w:hAnsi="宋体" w:eastAsia="宋体"/>
                <w:sz w:val="22"/>
                <w:szCs w:val="22"/>
              </w:rPr>
            </w:pPr>
          </w:p>
        </w:tc>
      </w:tr>
      <w:tr w14:paraId="504ED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51" w:type="dxa"/>
            <w:vMerge w:val="continue"/>
            <w:vAlign w:val="center"/>
          </w:tcPr>
          <w:p w14:paraId="7F592D3B">
            <w:pPr>
              <w:widowControl/>
              <w:jc w:val="left"/>
              <w:rPr>
                <w:rFonts w:ascii="宋体" w:hAnsi="宋体" w:eastAsia="宋体"/>
                <w:sz w:val="22"/>
                <w:szCs w:val="22"/>
              </w:rPr>
            </w:pPr>
          </w:p>
        </w:tc>
        <w:tc>
          <w:tcPr>
            <w:tcW w:w="1276" w:type="dxa"/>
            <w:noWrap/>
            <w:tcMar>
              <w:top w:w="0" w:type="dxa"/>
              <w:left w:w="108" w:type="dxa"/>
              <w:bottom w:w="0" w:type="dxa"/>
              <w:right w:w="108" w:type="dxa"/>
            </w:tcMar>
            <w:vAlign w:val="center"/>
          </w:tcPr>
          <w:p w14:paraId="1B2927B9">
            <w:pPr>
              <w:rPr>
                <w:rFonts w:ascii="宋体" w:hAnsi="宋体" w:eastAsia="宋体"/>
                <w:sz w:val="22"/>
                <w:szCs w:val="22"/>
              </w:rPr>
            </w:pPr>
            <w:r>
              <w:rPr>
                <w:rFonts w:hint="eastAsia" w:ascii="宋体" w:hAnsi="宋体" w:eastAsia="宋体"/>
                <w:sz w:val="22"/>
                <w:szCs w:val="22"/>
              </w:rPr>
              <w:t>网点分辨率</w:t>
            </w:r>
          </w:p>
        </w:tc>
        <w:tc>
          <w:tcPr>
            <w:tcW w:w="2821" w:type="dxa"/>
            <w:noWrap/>
            <w:tcMar>
              <w:top w:w="0" w:type="dxa"/>
              <w:left w:w="108" w:type="dxa"/>
              <w:bottom w:w="0" w:type="dxa"/>
              <w:right w:w="108" w:type="dxa"/>
            </w:tcMar>
          </w:tcPr>
          <w:p w14:paraId="14E59E48">
            <w:pPr>
              <w:rPr>
                <w:rFonts w:ascii="宋体" w:hAnsi="宋体" w:eastAsia="宋体"/>
                <w:sz w:val="22"/>
                <w:szCs w:val="22"/>
              </w:rPr>
            </w:pPr>
            <w:r>
              <w:rPr>
                <w:rFonts w:hint="eastAsia" w:ascii="宋体" w:hAnsi="宋体" w:eastAsia="宋体"/>
                <w:sz w:val="22"/>
                <w:szCs w:val="22"/>
              </w:rPr>
              <w:t>≥175线/英寸（根据不同版面确定采用175线或200线）</w:t>
            </w:r>
          </w:p>
        </w:tc>
        <w:tc>
          <w:tcPr>
            <w:tcW w:w="1225" w:type="dxa"/>
            <w:noWrap/>
            <w:tcMar>
              <w:top w:w="0" w:type="dxa"/>
              <w:left w:w="108" w:type="dxa"/>
              <w:bottom w:w="0" w:type="dxa"/>
              <w:right w:w="108" w:type="dxa"/>
            </w:tcMar>
          </w:tcPr>
          <w:p w14:paraId="47F5DADD">
            <w:pPr>
              <w:rPr>
                <w:rFonts w:ascii="宋体" w:hAnsi="宋体" w:eastAsia="宋体"/>
                <w:sz w:val="22"/>
                <w:szCs w:val="22"/>
              </w:rPr>
            </w:pPr>
          </w:p>
        </w:tc>
        <w:tc>
          <w:tcPr>
            <w:tcW w:w="1213" w:type="dxa"/>
            <w:noWrap/>
            <w:tcMar>
              <w:top w:w="0" w:type="dxa"/>
              <w:left w:w="108" w:type="dxa"/>
              <w:bottom w:w="0" w:type="dxa"/>
              <w:right w:w="108" w:type="dxa"/>
            </w:tcMar>
          </w:tcPr>
          <w:p w14:paraId="3DDA3EA8">
            <w:pPr>
              <w:rPr>
                <w:rFonts w:ascii="宋体" w:hAnsi="宋体" w:eastAsia="宋体"/>
                <w:sz w:val="22"/>
                <w:szCs w:val="22"/>
              </w:rPr>
            </w:pPr>
          </w:p>
        </w:tc>
        <w:tc>
          <w:tcPr>
            <w:tcW w:w="2125" w:type="dxa"/>
            <w:noWrap/>
            <w:tcMar>
              <w:top w:w="0" w:type="dxa"/>
              <w:left w:w="108" w:type="dxa"/>
              <w:bottom w:w="0" w:type="dxa"/>
              <w:right w:w="108" w:type="dxa"/>
            </w:tcMar>
          </w:tcPr>
          <w:p w14:paraId="535C3795">
            <w:pPr>
              <w:rPr>
                <w:rFonts w:ascii="宋体" w:hAnsi="宋体" w:eastAsia="宋体"/>
                <w:sz w:val="22"/>
                <w:szCs w:val="22"/>
              </w:rPr>
            </w:pPr>
          </w:p>
        </w:tc>
      </w:tr>
      <w:tr w14:paraId="7D058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51" w:type="dxa"/>
            <w:vMerge w:val="continue"/>
            <w:vAlign w:val="center"/>
          </w:tcPr>
          <w:p w14:paraId="0C76960B">
            <w:pPr>
              <w:widowControl/>
              <w:jc w:val="left"/>
              <w:rPr>
                <w:rFonts w:ascii="宋体" w:hAnsi="宋体" w:eastAsia="宋体"/>
                <w:sz w:val="22"/>
                <w:szCs w:val="22"/>
              </w:rPr>
            </w:pPr>
          </w:p>
        </w:tc>
        <w:tc>
          <w:tcPr>
            <w:tcW w:w="1276" w:type="dxa"/>
            <w:noWrap/>
            <w:tcMar>
              <w:top w:w="0" w:type="dxa"/>
              <w:left w:w="108" w:type="dxa"/>
              <w:bottom w:w="0" w:type="dxa"/>
              <w:right w:w="108" w:type="dxa"/>
            </w:tcMar>
            <w:vAlign w:val="center"/>
          </w:tcPr>
          <w:p w14:paraId="3C66E5DC">
            <w:pPr>
              <w:rPr>
                <w:rFonts w:ascii="宋体" w:hAnsi="宋体" w:eastAsia="宋体"/>
                <w:sz w:val="22"/>
                <w:szCs w:val="22"/>
              </w:rPr>
            </w:pPr>
            <w:r>
              <w:rPr>
                <w:rFonts w:hint="eastAsia" w:ascii="宋体" w:hAnsi="宋体" w:eastAsia="宋体"/>
                <w:sz w:val="22"/>
                <w:szCs w:val="22"/>
              </w:rPr>
              <w:t>准误差</w:t>
            </w:r>
          </w:p>
        </w:tc>
        <w:tc>
          <w:tcPr>
            <w:tcW w:w="2821" w:type="dxa"/>
            <w:noWrap/>
            <w:tcMar>
              <w:top w:w="0" w:type="dxa"/>
              <w:left w:w="108" w:type="dxa"/>
              <w:bottom w:w="0" w:type="dxa"/>
              <w:right w:w="108" w:type="dxa"/>
            </w:tcMar>
          </w:tcPr>
          <w:p w14:paraId="528CF5CC">
            <w:pPr>
              <w:rPr>
                <w:rFonts w:ascii="宋体" w:hAnsi="宋体" w:eastAsia="宋体"/>
                <w:sz w:val="22"/>
                <w:szCs w:val="22"/>
              </w:rPr>
            </w:pPr>
            <w:r>
              <w:rPr>
                <w:rFonts w:hint="eastAsia" w:ascii="宋体" w:hAnsi="宋体" w:eastAsia="宋体"/>
                <w:sz w:val="22"/>
                <w:szCs w:val="22"/>
              </w:rPr>
              <w:t>＜0.06</w:t>
            </w:r>
            <w:r>
              <w:rPr>
                <w:rFonts w:hint="eastAsia" w:ascii="宋体" w:hAnsi="宋体" w:eastAsia="宋体" w:cs="微软雅黑"/>
                <w:sz w:val="22"/>
                <w:szCs w:val="22"/>
              </w:rPr>
              <w:t>㎜</w:t>
            </w:r>
            <w:r>
              <w:rPr>
                <w:rFonts w:hint="eastAsia" w:ascii="宋体" w:hAnsi="宋体" w:eastAsia="宋体" w:cs="仿宋_GB2312"/>
                <w:sz w:val="22"/>
                <w:szCs w:val="22"/>
              </w:rPr>
              <w:t>，正、反面印刷套印准确</w:t>
            </w:r>
          </w:p>
        </w:tc>
        <w:tc>
          <w:tcPr>
            <w:tcW w:w="1225" w:type="dxa"/>
            <w:noWrap/>
            <w:tcMar>
              <w:top w:w="0" w:type="dxa"/>
              <w:left w:w="108" w:type="dxa"/>
              <w:bottom w:w="0" w:type="dxa"/>
              <w:right w:w="108" w:type="dxa"/>
            </w:tcMar>
          </w:tcPr>
          <w:p w14:paraId="04BE7AE4">
            <w:pPr>
              <w:rPr>
                <w:rFonts w:ascii="宋体" w:hAnsi="宋体" w:eastAsia="宋体"/>
                <w:sz w:val="22"/>
                <w:szCs w:val="22"/>
              </w:rPr>
            </w:pPr>
          </w:p>
        </w:tc>
        <w:tc>
          <w:tcPr>
            <w:tcW w:w="1213" w:type="dxa"/>
            <w:noWrap/>
            <w:tcMar>
              <w:top w:w="0" w:type="dxa"/>
              <w:left w:w="108" w:type="dxa"/>
              <w:bottom w:w="0" w:type="dxa"/>
              <w:right w:w="108" w:type="dxa"/>
            </w:tcMar>
          </w:tcPr>
          <w:p w14:paraId="1A7D1FE6">
            <w:pPr>
              <w:rPr>
                <w:rFonts w:ascii="宋体" w:hAnsi="宋体" w:eastAsia="宋体"/>
                <w:sz w:val="22"/>
                <w:szCs w:val="22"/>
              </w:rPr>
            </w:pPr>
          </w:p>
        </w:tc>
        <w:tc>
          <w:tcPr>
            <w:tcW w:w="2125" w:type="dxa"/>
            <w:noWrap/>
            <w:tcMar>
              <w:top w:w="0" w:type="dxa"/>
              <w:left w:w="108" w:type="dxa"/>
              <w:bottom w:w="0" w:type="dxa"/>
              <w:right w:w="108" w:type="dxa"/>
            </w:tcMar>
          </w:tcPr>
          <w:p w14:paraId="4C6730A2">
            <w:pPr>
              <w:rPr>
                <w:rFonts w:ascii="宋体" w:hAnsi="宋体" w:eastAsia="宋体"/>
                <w:sz w:val="22"/>
                <w:szCs w:val="22"/>
              </w:rPr>
            </w:pPr>
          </w:p>
        </w:tc>
      </w:tr>
      <w:tr w14:paraId="2FAFF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51" w:type="dxa"/>
            <w:vMerge w:val="continue"/>
            <w:vAlign w:val="center"/>
          </w:tcPr>
          <w:p w14:paraId="48BE7A10">
            <w:pPr>
              <w:widowControl/>
              <w:jc w:val="left"/>
              <w:rPr>
                <w:rFonts w:ascii="宋体" w:hAnsi="宋体" w:eastAsia="宋体"/>
                <w:sz w:val="22"/>
                <w:szCs w:val="22"/>
              </w:rPr>
            </w:pPr>
          </w:p>
        </w:tc>
        <w:tc>
          <w:tcPr>
            <w:tcW w:w="1276" w:type="dxa"/>
            <w:noWrap/>
            <w:tcMar>
              <w:top w:w="0" w:type="dxa"/>
              <w:left w:w="108" w:type="dxa"/>
              <w:bottom w:w="0" w:type="dxa"/>
              <w:right w:w="108" w:type="dxa"/>
            </w:tcMar>
            <w:vAlign w:val="center"/>
          </w:tcPr>
          <w:p w14:paraId="4E5D80B8">
            <w:pPr>
              <w:rPr>
                <w:rFonts w:ascii="宋体" w:hAnsi="宋体" w:eastAsia="宋体"/>
                <w:sz w:val="22"/>
                <w:szCs w:val="22"/>
              </w:rPr>
            </w:pPr>
            <w:r>
              <w:rPr>
                <w:rFonts w:hint="eastAsia" w:ascii="宋体" w:hAnsi="宋体" w:eastAsia="宋体"/>
                <w:sz w:val="22"/>
                <w:szCs w:val="22"/>
              </w:rPr>
              <w:t>光洁</w:t>
            </w:r>
          </w:p>
        </w:tc>
        <w:tc>
          <w:tcPr>
            <w:tcW w:w="2821" w:type="dxa"/>
            <w:noWrap/>
            <w:tcMar>
              <w:top w:w="0" w:type="dxa"/>
              <w:left w:w="108" w:type="dxa"/>
              <w:bottom w:w="0" w:type="dxa"/>
              <w:right w:w="108" w:type="dxa"/>
            </w:tcMar>
          </w:tcPr>
          <w:p w14:paraId="741FE291">
            <w:pPr>
              <w:rPr>
                <w:rFonts w:ascii="宋体" w:hAnsi="宋体" w:eastAsia="宋体"/>
                <w:sz w:val="22"/>
                <w:szCs w:val="22"/>
              </w:rPr>
            </w:pPr>
            <w:r>
              <w:rPr>
                <w:rFonts w:hint="eastAsia" w:ascii="宋体" w:hAnsi="宋体" w:eastAsia="宋体"/>
                <w:sz w:val="22"/>
                <w:szCs w:val="22"/>
              </w:rPr>
              <w:t>无气泡、凹凸点及脏污</w:t>
            </w:r>
          </w:p>
        </w:tc>
        <w:tc>
          <w:tcPr>
            <w:tcW w:w="1225" w:type="dxa"/>
            <w:noWrap/>
            <w:tcMar>
              <w:top w:w="0" w:type="dxa"/>
              <w:left w:w="108" w:type="dxa"/>
              <w:bottom w:w="0" w:type="dxa"/>
              <w:right w:w="108" w:type="dxa"/>
            </w:tcMar>
          </w:tcPr>
          <w:p w14:paraId="0643B8B5">
            <w:pPr>
              <w:rPr>
                <w:rFonts w:ascii="宋体" w:hAnsi="宋体" w:eastAsia="宋体"/>
                <w:sz w:val="22"/>
                <w:szCs w:val="22"/>
              </w:rPr>
            </w:pPr>
          </w:p>
        </w:tc>
        <w:tc>
          <w:tcPr>
            <w:tcW w:w="1213" w:type="dxa"/>
            <w:noWrap/>
            <w:tcMar>
              <w:top w:w="0" w:type="dxa"/>
              <w:left w:w="108" w:type="dxa"/>
              <w:bottom w:w="0" w:type="dxa"/>
              <w:right w:w="108" w:type="dxa"/>
            </w:tcMar>
          </w:tcPr>
          <w:p w14:paraId="6F11BE1C">
            <w:pPr>
              <w:rPr>
                <w:rFonts w:ascii="宋体" w:hAnsi="宋体" w:eastAsia="宋体"/>
                <w:sz w:val="22"/>
                <w:szCs w:val="22"/>
              </w:rPr>
            </w:pPr>
          </w:p>
        </w:tc>
        <w:tc>
          <w:tcPr>
            <w:tcW w:w="2125" w:type="dxa"/>
            <w:noWrap/>
            <w:tcMar>
              <w:top w:w="0" w:type="dxa"/>
              <w:left w:w="108" w:type="dxa"/>
              <w:bottom w:w="0" w:type="dxa"/>
              <w:right w:w="108" w:type="dxa"/>
            </w:tcMar>
          </w:tcPr>
          <w:p w14:paraId="6E54A36A">
            <w:pPr>
              <w:rPr>
                <w:rFonts w:ascii="宋体" w:hAnsi="宋体" w:eastAsia="宋体"/>
                <w:sz w:val="22"/>
                <w:szCs w:val="22"/>
              </w:rPr>
            </w:pPr>
          </w:p>
        </w:tc>
      </w:tr>
      <w:tr w14:paraId="6D51C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51" w:type="dxa"/>
            <w:vMerge w:val="continue"/>
            <w:vAlign w:val="center"/>
          </w:tcPr>
          <w:p w14:paraId="0B73C9CC">
            <w:pPr>
              <w:widowControl/>
              <w:jc w:val="left"/>
              <w:rPr>
                <w:rFonts w:ascii="宋体" w:hAnsi="宋体" w:eastAsia="宋体"/>
                <w:sz w:val="22"/>
                <w:szCs w:val="22"/>
              </w:rPr>
            </w:pPr>
          </w:p>
        </w:tc>
        <w:tc>
          <w:tcPr>
            <w:tcW w:w="1276" w:type="dxa"/>
            <w:noWrap/>
            <w:tcMar>
              <w:top w:w="0" w:type="dxa"/>
              <w:left w:w="108" w:type="dxa"/>
              <w:bottom w:w="0" w:type="dxa"/>
              <w:right w:w="108" w:type="dxa"/>
            </w:tcMar>
            <w:vAlign w:val="center"/>
          </w:tcPr>
          <w:p w14:paraId="74115E97">
            <w:pPr>
              <w:rPr>
                <w:rFonts w:ascii="宋体" w:hAnsi="宋体" w:eastAsia="宋体"/>
                <w:sz w:val="22"/>
                <w:szCs w:val="22"/>
              </w:rPr>
            </w:pPr>
            <w:r>
              <w:rPr>
                <w:rFonts w:hint="eastAsia" w:ascii="宋体" w:hAnsi="宋体" w:eastAsia="宋体"/>
                <w:sz w:val="22"/>
                <w:szCs w:val="22"/>
              </w:rPr>
              <w:t>点</w:t>
            </w:r>
          </w:p>
        </w:tc>
        <w:tc>
          <w:tcPr>
            <w:tcW w:w="2821" w:type="dxa"/>
            <w:noWrap/>
            <w:tcMar>
              <w:top w:w="0" w:type="dxa"/>
              <w:left w:w="108" w:type="dxa"/>
              <w:bottom w:w="0" w:type="dxa"/>
              <w:right w:w="108" w:type="dxa"/>
            </w:tcMar>
          </w:tcPr>
          <w:p w14:paraId="5966ABA2">
            <w:pPr>
              <w:rPr>
                <w:rFonts w:ascii="宋体" w:hAnsi="宋体" w:eastAsia="宋体"/>
                <w:sz w:val="22"/>
                <w:szCs w:val="22"/>
              </w:rPr>
            </w:pPr>
            <w:r>
              <w:rPr>
                <w:rFonts w:hint="eastAsia" w:ascii="宋体" w:hAnsi="宋体" w:eastAsia="宋体"/>
                <w:sz w:val="22"/>
                <w:szCs w:val="22"/>
              </w:rPr>
              <w:t>直径＜0.2</w:t>
            </w:r>
            <w:r>
              <w:rPr>
                <w:rFonts w:hint="eastAsia" w:ascii="宋体" w:hAnsi="宋体" w:eastAsia="宋体" w:cs="微软雅黑"/>
                <w:sz w:val="22"/>
                <w:szCs w:val="22"/>
              </w:rPr>
              <w:t>㎜</w:t>
            </w:r>
            <w:r>
              <w:rPr>
                <w:rFonts w:hint="eastAsia" w:ascii="宋体" w:hAnsi="宋体" w:eastAsia="宋体" w:cs="仿宋_GB2312"/>
                <w:sz w:val="22"/>
                <w:szCs w:val="22"/>
              </w:rPr>
              <w:t>的不明显黑点：正面不超过</w:t>
            </w:r>
            <w:r>
              <w:rPr>
                <w:rFonts w:hint="eastAsia" w:ascii="宋体" w:hAnsi="宋体" w:eastAsia="宋体"/>
                <w:sz w:val="22"/>
                <w:szCs w:val="22"/>
              </w:rPr>
              <w:t>1个；反面不超过2个</w:t>
            </w:r>
          </w:p>
        </w:tc>
        <w:tc>
          <w:tcPr>
            <w:tcW w:w="1225" w:type="dxa"/>
            <w:noWrap/>
            <w:tcMar>
              <w:top w:w="0" w:type="dxa"/>
              <w:left w:w="108" w:type="dxa"/>
              <w:bottom w:w="0" w:type="dxa"/>
              <w:right w:w="108" w:type="dxa"/>
            </w:tcMar>
          </w:tcPr>
          <w:p w14:paraId="52D34B87">
            <w:pPr>
              <w:rPr>
                <w:rFonts w:ascii="宋体" w:hAnsi="宋体" w:eastAsia="宋体"/>
                <w:sz w:val="22"/>
                <w:szCs w:val="22"/>
              </w:rPr>
            </w:pPr>
          </w:p>
        </w:tc>
        <w:tc>
          <w:tcPr>
            <w:tcW w:w="1213" w:type="dxa"/>
            <w:noWrap/>
            <w:tcMar>
              <w:top w:w="0" w:type="dxa"/>
              <w:left w:w="108" w:type="dxa"/>
              <w:bottom w:w="0" w:type="dxa"/>
              <w:right w:w="108" w:type="dxa"/>
            </w:tcMar>
          </w:tcPr>
          <w:p w14:paraId="0F05668B">
            <w:pPr>
              <w:rPr>
                <w:rFonts w:ascii="宋体" w:hAnsi="宋体" w:eastAsia="宋体"/>
                <w:sz w:val="22"/>
                <w:szCs w:val="22"/>
              </w:rPr>
            </w:pPr>
          </w:p>
        </w:tc>
        <w:tc>
          <w:tcPr>
            <w:tcW w:w="2125" w:type="dxa"/>
            <w:noWrap/>
            <w:tcMar>
              <w:top w:w="0" w:type="dxa"/>
              <w:left w:w="108" w:type="dxa"/>
              <w:bottom w:w="0" w:type="dxa"/>
              <w:right w:w="108" w:type="dxa"/>
            </w:tcMar>
          </w:tcPr>
          <w:p w14:paraId="073A7DC8">
            <w:pPr>
              <w:rPr>
                <w:rFonts w:ascii="宋体" w:hAnsi="宋体" w:eastAsia="宋体"/>
                <w:sz w:val="22"/>
                <w:szCs w:val="22"/>
              </w:rPr>
            </w:pPr>
          </w:p>
        </w:tc>
      </w:tr>
      <w:tr w14:paraId="40333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51" w:type="dxa"/>
            <w:vMerge w:val="continue"/>
            <w:vAlign w:val="center"/>
          </w:tcPr>
          <w:p w14:paraId="520C4218">
            <w:pPr>
              <w:widowControl/>
              <w:jc w:val="left"/>
              <w:rPr>
                <w:rFonts w:ascii="宋体" w:hAnsi="宋体" w:eastAsia="宋体"/>
                <w:sz w:val="22"/>
                <w:szCs w:val="22"/>
              </w:rPr>
            </w:pPr>
          </w:p>
        </w:tc>
        <w:tc>
          <w:tcPr>
            <w:tcW w:w="1276" w:type="dxa"/>
            <w:noWrap/>
            <w:tcMar>
              <w:top w:w="0" w:type="dxa"/>
              <w:left w:w="108" w:type="dxa"/>
              <w:bottom w:w="0" w:type="dxa"/>
              <w:right w:w="108" w:type="dxa"/>
            </w:tcMar>
            <w:vAlign w:val="center"/>
          </w:tcPr>
          <w:p w14:paraId="3B507181">
            <w:pPr>
              <w:rPr>
                <w:rFonts w:ascii="宋体" w:hAnsi="宋体" w:eastAsia="宋体"/>
                <w:sz w:val="22"/>
                <w:szCs w:val="22"/>
              </w:rPr>
            </w:pPr>
            <w:r>
              <w:rPr>
                <w:rFonts w:hint="eastAsia" w:ascii="宋体" w:hAnsi="宋体" w:eastAsia="宋体"/>
                <w:sz w:val="22"/>
                <w:szCs w:val="22"/>
              </w:rPr>
              <w:t>物</w:t>
            </w:r>
          </w:p>
        </w:tc>
        <w:tc>
          <w:tcPr>
            <w:tcW w:w="2821" w:type="dxa"/>
            <w:noWrap/>
            <w:tcMar>
              <w:top w:w="0" w:type="dxa"/>
              <w:left w:w="108" w:type="dxa"/>
              <w:bottom w:w="0" w:type="dxa"/>
              <w:right w:w="108" w:type="dxa"/>
            </w:tcMar>
            <w:vAlign w:val="center"/>
          </w:tcPr>
          <w:p w14:paraId="181F3317">
            <w:pPr>
              <w:rPr>
                <w:rFonts w:ascii="宋体" w:hAnsi="宋体" w:eastAsia="宋体"/>
                <w:sz w:val="22"/>
                <w:szCs w:val="22"/>
              </w:rPr>
            </w:pPr>
            <w:r>
              <w:rPr>
                <w:rFonts w:hint="eastAsia" w:ascii="宋体" w:hAnsi="宋体" w:eastAsia="宋体"/>
                <w:sz w:val="22"/>
                <w:szCs w:val="22"/>
              </w:rPr>
              <w:t>长度＜0.5</w:t>
            </w:r>
            <w:r>
              <w:rPr>
                <w:rFonts w:hint="eastAsia" w:ascii="宋体" w:hAnsi="宋体" w:eastAsia="宋体" w:cs="微软雅黑"/>
                <w:sz w:val="22"/>
                <w:szCs w:val="22"/>
              </w:rPr>
              <w:t>㎜</w:t>
            </w:r>
            <w:r>
              <w:rPr>
                <w:rFonts w:hint="eastAsia" w:ascii="宋体" w:hAnsi="宋体" w:eastAsia="宋体" w:cs="仿宋_GB2312"/>
                <w:sz w:val="22"/>
                <w:szCs w:val="22"/>
              </w:rPr>
              <w:t>的细小杂质纤维：正面不超过</w:t>
            </w:r>
            <w:r>
              <w:rPr>
                <w:rFonts w:hint="eastAsia" w:ascii="宋体" w:hAnsi="宋体" w:eastAsia="宋体"/>
                <w:sz w:val="22"/>
                <w:szCs w:val="22"/>
              </w:rPr>
              <w:t>1个；反面不超过2个</w:t>
            </w:r>
          </w:p>
        </w:tc>
        <w:tc>
          <w:tcPr>
            <w:tcW w:w="1225" w:type="dxa"/>
            <w:noWrap/>
            <w:tcMar>
              <w:top w:w="0" w:type="dxa"/>
              <w:left w:w="108" w:type="dxa"/>
              <w:bottom w:w="0" w:type="dxa"/>
              <w:right w:w="108" w:type="dxa"/>
            </w:tcMar>
            <w:vAlign w:val="center"/>
          </w:tcPr>
          <w:p w14:paraId="7FF7A8EE">
            <w:pPr>
              <w:rPr>
                <w:rFonts w:ascii="宋体" w:hAnsi="宋体" w:eastAsia="宋体"/>
                <w:sz w:val="22"/>
                <w:szCs w:val="22"/>
              </w:rPr>
            </w:pPr>
          </w:p>
        </w:tc>
        <w:tc>
          <w:tcPr>
            <w:tcW w:w="1213" w:type="dxa"/>
            <w:noWrap/>
            <w:tcMar>
              <w:top w:w="0" w:type="dxa"/>
              <w:left w:w="108" w:type="dxa"/>
              <w:bottom w:w="0" w:type="dxa"/>
              <w:right w:w="108" w:type="dxa"/>
            </w:tcMar>
            <w:vAlign w:val="center"/>
          </w:tcPr>
          <w:p w14:paraId="5B18BFC6">
            <w:pPr>
              <w:rPr>
                <w:rFonts w:ascii="宋体" w:hAnsi="宋体" w:eastAsia="宋体"/>
                <w:sz w:val="22"/>
                <w:szCs w:val="22"/>
              </w:rPr>
            </w:pPr>
          </w:p>
        </w:tc>
        <w:tc>
          <w:tcPr>
            <w:tcW w:w="2125" w:type="dxa"/>
            <w:noWrap/>
            <w:tcMar>
              <w:top w:w="0" w:type="dxa"/>
              <w:left w:w="108" w:type="dxa"/>
              <w:bottom w:w="0" w:type="dxa"/>
              <w:right w:w="108" w:type="dxa"/>
            </w:tcMar>
            <w:vAlign w:val="center"/>
          </w:tcPr>
          <w:p w14:paraId="39C1C0DD">
            <w:pPr>
              <w:rPr>
                <w:rFonts w:ascii="宋体" w:hAnsi="宋体" w:eastAsia="宋体"/>
                <w:sz w:val="22"/>
                <w:szCs w:val="22"/>
              </w:rPr>
            </w:pPr>
          </w:p>
        </w:tc>
      </w:tr>
      <w:tr w14:paraId="26028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51" w:type="dxa"/>
            <w:vMerge w:val="continue"/>
            <w:vAlign w:val="center"/>
          </w:tcPr>
          <w:p w14:paraId="191E78F6">
            <w:pPr>
              <w:widowControl/>
              <w:jc w:val="left"/>
              <w:rPr>
                <w:rFonts w:ascii="宋体" w:hAnsi="宋体" w:eastAsia="宋体"/>
                <w:sz w:val="22"/>
                <w:szCs w:val="22"/>
              </w:rPr>
            </w:pPr>
          </w:p>
        </w:tc>
        <w:tc>
          <w:tcPr>
            <w:tcW w:w="1276" w:type="dxa"/>
            <w:noWrap/>
            <w:tcMar>
              <w:top w:w="0" w:type="dxa"/>
              <w:left w:w="108" w:type="dxa"/>
              <w:bottom w:w="0" w:type="dxa"/>
              <w:right w:w="108" w:type="dxa"/>
            </w:tcMar>
            <w:vAlign w:val="center"/>
          </w:tcPr>
          <w:p w14:paraId="41133030">
            <w:pPr>
              <w:rPr>
                <w:rFonts w:ascii="宋体" w:hAnsi="宋体" w:eastAsia="宋体"/>
                <w:sz w:val="22"/>
                <w:szCs w:val="22"/>
              </w:rPr>
            </w:pPr>
            <w:r>
              <w:rPr>
                <w:rFonts w:hint="eastAsia" w:ascii="宋体" w:hAnsi="宋体" w:eastAsia="宋体"/>
                <w:sz w:val="22"/>
                <w:szCs w:val="22"/>
              </w:rPr>
              <w:t>斑</w:t>
            </w:r>
          </w:p>
        </w:tc>
        <w:tc>
          <w:tcPr>
            <w:tcW w:w="2821" w:type="dxa"/>
            <w:noWrap/>
            <w:tcMar>
              <w:top w:w="0" w:type="dxa"/>
              <w:left w:w="108" w:type="dxa"/>
              <w:bottom w:w="0" w:type="dxa"/>
              <w:right w:w="108" w:type="dxa"/>
            </w:tcMar>
            <w:vAlign w:val="center"/>
          </w:tcPr>
          <w:p w14:paraId="182C6B78">
            <w:pPr>
              <w:rPr>
                <w:rFonts w:ascii="宋体" w:hAnsi="宋体" w:eastAsia="宋体"/>
                <w:sz w:val="22"/>
                <w:szCs w:val="22"/>
              </w:rPr>
            </w:pPr>
            <w:r>
              <w:rPr>
                <w:rFonts w:hint="eastAsia" w:ascii="宋体" w:hAnsi="宋体" w:eastAsia="宋体"/>
                <w:sz w:val="22"/>
                <w:szCs w:val="22"/>
              </w:rPr>
              <w:t>直径＜0.5</w:t>
            </w:r>
            <w:r>
              <w:rPr>
                <w:rFonts w:hint="eastAsia" w:ascii="宋体" w:hAnsi="宋体" w:eastAsia="宋体" w:cs="微软雅黑"/>
                <w:sz w:val="22"/>
                <w:szCs w:val="22"/>
              </w:rPr>
              <w:t>㎜</w:t>
            </w:r>
            <w:r>
              <w:rPr>
                <w:rFonts w:hint="eastAsia" w:ascii="宋体" w:hAnsi="宋体" w:eastAsia="宋体" w:cs="仿宋_GB2312"/>
                <w:sz w:val="22"/>
                <w:szCs w:val="22"/>
              </w:rPr>
              <w:t>杂色斑：正反面不允许</w:t>
            </w:r>
          </w:p>
        </w:tc>
        <w:tc>
          <w:tcPr>
            <w:tcW w:w="1225" w:type="dxa"/>
            <w:noWrap/>
            <w:tcMar>
              <w:top w:w="0" w:type="dxa"/>
              <w:left w:w="108" w:type="dxa"/>
              <w:bottom w:w="0" w:type="dxa"/>
              <w:right w:w="108" w:type="dxa"/>
            </w:tcMar>
            <w:vAlign w:val="center"/>
          </w:tcPr>
          <w:p w14:paraId="7B239FC0">
            <w:pPr>
              <w:rPr>
                <w:rFonts w:ascii="宋体" w:hAnsi="宋体" w:eastAsia="宋体"/>
                <w:sz w:val="22"/>
                <w:szCs w:val="22"/>
              </w:rPr>
            </w:pPr>
          </w:p>
        </w:tc>
        <w:tc>
          <w:tcPr>
            <w:tcW w:w="1213" w:type="dxa"/>
            <w:noWrap/>
            <w:tcMar>
              <w:top w:w="0" w:type="dxa"/>
              <w:left w:w="108" w:type="dxa"/>
              <w:bottom w:w="0" w:type="dxa"/>
              <w:right w:w="108" w:type="dxa"/>
            </w:tcMar>
            <w:vAlign w:val="center"/>
          </w:tcPr>
          <w:p w14:paraId="20B47BB1">
            <w:pPr>
              <w:rPr>
                <w:rFonts w:ascii="宋体" w:hAnsi="宋体" w:eastAsia="宋体"/>
                <w:sz w:val="22"/>
                <w:szCs w:val="22"/>
              </w:rPr>
            </w:pPr>
          </w:p>
        </w:tc>
        <w:tc>
          <w:tcPr>
            <w:tcW w:w="2125" w:type="dxa"/>
            <w:noWrap/>
            <w:tcMar>
              <w:top w:w="0" w:type="dxa"/>
              <w:left w:w="108" w:type="dxa"/>
              <w:bottom w:w="0" w:type="dxa"/>
              <w:right w:w="108" w:type="dxa"/>
            </w:tcMar>
            <w:vAlign w:val="center"/>
          </w:tcPr>
          <w:p w14:paraId="38CA1E25">
            <w:pPr>
              <w:rPr>
                <w:rFonts w:ascii="宋体" w:hAnsi="宋体" w:eastAsia="宋体"/>
                <w:sz w:val="22"/>
                <w:szCs w:val="22"/>
              </w:rPr>
            </w:pPr>
          </w:p>
        </w:tc>
      </w:tr>
      <w:tr w14:paraId="67B00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51" w:type="dxa"/>
            <w:vMerge w:val="continue"/>
            <w:vAlign w:val="center"/>
          </w:tcPr>
          <w:p w14:paraId="0012C18D">
            <w:pPr>
              <w:widowControl/>
              <w:jc w:val="left"/>
              <w:rPr>
                <w:rFonts w:ascii="宋体" w:hAnsi="宋体" w:eastAsia="宋体"/>
                <w:sz w:val="22"/>
                <w:szCs w:val="22"/>
              </w:rPr>
            </w:pPr>
          </w:p>
        </w:tc>
        <w:tc>
          <w:tcPr>
            <w:tcW w:w="1276" w:type="dxa"/>
            <w:noWrap/>
            <w:tcMar>
              <w:top w:w="0" w:type="dxa"/>
              <w:left w:w="108" w:type="dxa"/>
              <w:bottom w:w="0" w:type="dxa"/>
              <w:right w:w="108" w:type="dxa"/>
            </w:tcMar>
            <w:vAlign w:val="center"/>
          </w:tcPr>
          <w:p w14:paraId="6A97E841">
            <w:pPr>
              <w:rPr>
                <w:rFonts w:ascii="宋体" w:hAnsi="宋体" w:eastAsia="宋体"/>
                <w:sz w:val="22"/>
                <w:szCs w:val="22"/>
              </w:rPr>
            </w:pPr>
            <w:r>
              <w:rPr>
                <w:rFonts w:hint="eastAsia" w:ascii="宋体" w:hAnsi="宋体" w:eastAsia="宋体"/>
                <w:sz w:val="22"/>
                <w:szCs w:val="22"/>
              </w:rPr>
              <w:t>划痕</w:t>
            </w:r>
          </w:p>
        </w:tc>
        <w:tc>
          <w:tcPr>
            <w:tcW w:w="2821" w:type="dxa"/>
            <w:noWrap/>
            <w:tcMar>
              <w:top w:w="0" w:type="dxa"/>
              <w:left w:w="108" w:type="dxa"/>
              <w:bottom w:w="0" w:type="dxa"/>
              <w:right w:w="108" w:type="dxa"/>
            </w:tcMar>
            <w:vAlign w:val="center"/>
          </w:tcPr>
          <w:p w14:paraId="60B601FE">
            <w:pPr>
              <w:rPr>
                <w:rFonts w:ascii="宋体" w:hAnsi="宋体" w:eastAsia="宋体"/>
                <w:sz w:val="22"/>
                <w:szCs w:val="22"/>
              </w:rPr>
            </w:pPr>
            <w:r>
              <w:rPr>
                <w:rFonts w:hint="eastAsia" w:ascii="宋体" w:hAnsi="宋体" w:eastAsia="宋体"/>
                <w:sz w:val="22"/>
                <w:szCs w:val="22"/>
              </w:rPr>
              <w:t>长度＜5</w:t>
            </w:r>
            <w:r>
              <w:rPr>
                <w:rFonts w:hint="eastAsia" w:ascii="宋体" w:hAnsi="宋体" w:eastAsia="宋体" w:cs="微软雅黑"/>
                <w:sz w:val="22"/>
                <w:szCs w:val="22"/>
              </w:rPr>
              <w:t>㎜</w:t>
            </w:r>
            <w:r>
              <w:rPr>
                <w:rFonts w:hint="eastAsia" w:ascii="宋体" w:hAnsi="宋体" w:eastAsia="宋体" w:cs="仿宋_GB2312"/>
                <w:sz w:val="22"/>
                <w:szCs w:val="22"/>
              </w:rPr>
              <w:t>的细划痕：不超过</w:t>
            </w:r>
            <w:r>
              <w:rPr>
                <w:rFonts w:hint="eastAsia" w:ascii="宋体" w:hAnsi="宋体" w:eastAsia="宋体"/>
                <w:sz w:val="22"/>
                <w:szCs w:val="22"/>
              </w:rPr>
              <w:t>2条</w:t>
            </w:r>
          </w:p>
        </w:tc>
        <w:tc>
          <w:tcPr>
            <w:tcW w:w="1225" w:type="dxa"/>
            <w:noWrap/>
            <w:tcMar>
              <w:top w:w="0" w:type="dxa"/>
              <w:left w:w="108" w:type="dxa"/>
              <w:bottom w:w="0" w:type="dxa"/>
              <w:right w:w="108" w:type="dxa"/>
            </w:tcMar>
            <w:vAlign w:val="center"/>
          </w:tcPr>
          <w:p w14:paraId="417768D5">
            <w:pPr>
              <w:rPr>
                <w:rFonts w:ascii="宋体" w:hAnsi="宋体" w:eastAsia="宋体"/>
                <w:sz w:val="22"/>
                <w:szCs w:val="22"/>
              </w:rPr>
            </w:pPr>
          </w:p>
        </w:tc>
        <w:tc>
          <w:tcPr>
            <w:tcW w:w="1213" w:type="dxa"/>
            <w:noWrap/>
            <w:tcMar>
              <w:top w:w="0" w:type="dxa"/>
              <w:left w:w="108" w:type="dxa"/>
              <w:bottom w:w="0" w:type="dxa"/>
              <w:right w:w="108" w:type="dxa"/>
            </w:tcMar>
            <w:vAlign w:val="center"/>
          </w:tcPr>
          <w:p w14:paraId="1CFD7B03">
            <w:pPr>
              <w:rPr>
                <w:rFonts w:ascii="宋体" w:hAnsi="宋体" w:eastAsia="宋体"/>
                <w:sz w:val="22"/>
                <w:szCs w:val="22"/>
              </w:rPr>
            </w:pPr>
          </w:p>
        </w:tc>
        <w:tc>
          <w:tcPr>
            <w:tcW w:w="2125" w:type="dxa"/>
            <w:noWrap/>
            <w:tcMar>
              <w:top w:w="0" w:type="dxa"/>
              <w:left w:w="108" w:type="dxa"/>
              <w:bottom w:w="0" w:type="dxa"/>
              <w:right w:w="108" w:type="dxa"/>
            </w:tcMar>
            <w:vAlign w:val="center"/>
          </w:tcPr>
          <w:p w14:paraId="23E7A89A">
            <w:pPr>
              <w:rPr>
                <w:rFonts w:ascii="宋体" w:hAnsi="宋体" w:eastAsia="宋体"/>
                <w:sz w:val="22"/>
                <w:szCs w:val="22"/>
              </w:rPr>
            </w:pPr>
          </w:p>
        </w:tc>
      </w:tr>
      <w:tr w14:paraId="442A3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51" w:type="dxa"/>
            <w:vMerge w:val="continue"/>
            <w:vAlign w:val="center"/>
          </w:tcPr>
          <w:p w14:paraId="121C426A">
            <w:pPr>
              <w:widowControl/>
              <w:jc w:val="left"/>
              <w:rPr>
                <w:rFonts w:ascii="宋体" w:hAnsi="宋体" w:eastAsia="宋体"/>
                <w:sz w:val="22"/>
                <w:szCs w:val="22"/>
              </w:rPr>
            </w:pPr>
          </w:p>
        </w:tc>
        <w:tc>
          <w:tcPr>
            <w:tcW w:w="1276" w:type="dxa"/>
            <w:noWrap/>
            <w:tcMar>
              <w:top w:w="0" w:type="dxa"/>
              <w:left w:w="108" w:type="dxa"/>
              <w:bottom w:w="0" w:type="dxa"/>
              <w:right w:w="108" w:type="dxa"/>
            </w:tcMar>
            <w:vAlign w:val="center"/>
          </w:tcPr>
          <w:p w14:paraId="612C9C6C">
            <w:pPr>
              <w:rPr>
                <w:rFonts w:ascii="宋体" w:hAnsi="宋体" w:eastAsia="宋体"/>
                <w:sz w:val="22"/>
                <w:szCs w:val="22"/>
              </w:rPr>
            </w:pPr>
            <w:r>
              <w:rPr>
                <w:rFonts w:hint="eastAsia" w:ascii="宋体" w:hAnsi="宋体" w:eastAsia="宋体"/>
                <w:sz w:val="22"/>
                <w:szCs w:val="22"/>
              </w:rPr>
              <w:t>色彩</w:t>
            </w:r>
          </w:p>
        </w:tc>
        <w:tc>
          <w:tcPr>
            <w:tcW w:w="2821" w:type="dxa"/>
            <w:noWrap/>
            <w:tcMar>
              <w:top w:w="0" w:type="dxa"/>
              <w:left w:w="108" w:type="dxa"/>
              <w:bottom w:w="0" w:type="dxa"/>
              <w:right w:w="108" w:type="dxa"/>
            </w:tcMar>
            <w:vAlign w:val="center"/>
          </w:tcPr>
          <w:p w14:paraId="0779B2C1">
            <w:pPr>
              <w:rPr>
                <w:rFonts w:ascii="宋体" w:hAnsi="宋体" w:eastAsia="宋体"/>
                <w:sz w:val="22"/>
                <w:szCs w:val="22"/>
              </w:rPr>
            </w:pPr>
            <w:r>
              <w:rPr>
                <w:rFonts w:hint="eastAsia" w:ascii="宋体" w:hAnsi="宋体" w:eastAsia="宋体"/>
                <w:sz w:val="22"/>
                <w:szCs w:val="22"/>
              </w:rPr>
              <w:t>卡片的图案和颜色应以设计原稿样卡为准，复制真实、自然，且同一产品不同批次生产的卡片，颜色一致。</w:t>
            </w:r>
          </w:p>
        </w:tc>
        <w:tc>
          <w:tcPr>
            <w:tcW w:w="1225" w:type="dxa"/>
            <w:noWrap/>
            <w:tcMar>
              <w:top w:w="0" w:type="dxa"/>
              <w:left w:w="108" w:type="dxa"/>
              <w:bottom w:w="0" w:type="dxa"/>
              <w:right w:w="108" w:type="dxa"/>
            </w:tcMar>
            <w:vAlign w:val="center"/>
          </w:tcPr>
          <w:p w14:paraId="62CB4F95">
            <w:pPr>
              <w:rPr>
                <w:rFonts w:ascii="宋体" w:hAnsi="宋体" w:eastAsia="宋体"/>
                <w:sz w:val="22"/>
                <w:szCs w:val="22"/>
              </w:rPr>
            </w:pPr>
          </w:p>
        </w:tc>
        <w:tc>
          <w:tcPr>
            <w:tcW w:w="1213" w:type="dxa"/>
            <w:noWrap/>
            <w:tcMar>
              <w:top w:w="0" w:type="dxa"/>
              <w:left w:w="108" w:type="dxa"/>
              <w:bottom w:w="0" w:type="dxa"/>
              <w:right w:w="108" w:type="dxa"/>
            </w:tcMar>
            <w:vAlign w:val="center"/>
          </w:tcPr>
          <w:p w14:paraId="2CB8ED2F">
            <w:pPr>
              <w:rPr>
                <w:rFonts w:ascii="宋体" w:hAnsi="宋体" w:eastAsia="宋体"/>
                <w:sz w:val="22"/>
                <w:szCs w:val="22"/>
              </w:rPr>
            </w:pPr>
          </w:p>
        </w:tc>
        <w:tc>
          <w:tcPr>
            <w:tcW w:w="2125" w:type="dxa"/>
            <w:noWrap/>
            <w:tcMar>
              <w:top w:w="0" w:type="dxa"/>
              <w:left w:w="108" w:type="dxa"/>
              <w:bottom w:w="0" w:type="dxa"/>
              <w:right w:w="108" w:type="dxa"/>
            </w:tcMar>
            <w:vAlign w:val="center"/>
          </w:tcPr>
          <w:p w14:paraId="659CA649">
            <w:pPr>
              <w:rPr>
                <w:rFonts w:ascii="宋体" w:hAnsi="宋体" w:eastAsia="宋体"/>
                <w:sz w:val="22"/>
                <w:szCs w:val="22"/>
              </w:rPr>
            </w:pPr>
          </w:p>
        </w:tc>
      </w:tr>
      <w:tr w14:paraId="1ABF7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51" w:type="dxa"/>
            <w:vMerge w:val="continue"/>
            <w:vAlign w:val="center"/>
          </w:tcPr>
          <w:p w14:paraId="58F1B3C5">
            <w:pPr>
              <w:widowControl/>
              <w:jc w:val="left"/>
              <w:rPr>
                <w:rFonts w:ascii="宋体" w:hAnsi="宋体" w:eastAsia="宋体"/>
                <w:sz w:val="22"/>
                <w:szCs w:val="22"/>
              </w:rPr>
            </w:pPr>
          </w:p>
        </w:tc>
        <w:tc>
          <w:tcPr>
            <w:tcW w:w="1276" w:type="dxa"/>
            <w:noWrap/>
            <w:tcMar>
              <w:top w:w="0" w:type="dxa"/>
              <w:left w:w="108" w:type="dxa"/>
              <w:bottom w:w="0" w:type="dxa"/>
              <w:right w:w="108" w:type="dxa"/>
            </w:tcMar>
            <w:vAlign w:val="center"/>
          </w:tcPr>
          <w:p w14:paraId="4B8A717F">
            <w:pPr>
              <w:rPr>
                <w:rFonts w:ascii="宋体" w:hAnsi="宋体" w:eastAsia="宋体"/>
                <w:sz w:val="22"/>
                <w:szCs w:val="22"/>
              </w:rPr>
            </w:pPr>
            <w:r>
              <w:rPr>
                <w:rFonts w:hint="eastAsia" w:ascii="宋体" w:hAnsi="宋体" w:eastAsia="宋体"/>
                <w:sz w:val="22"/>
                <w:szCs w:val="22"/>
              </w:rPr>
              <w:t>墨色分布</w:t>
            </w:r>
          </w:p>
        </w:tc>
        <w:tc>
          <w:tcPr>
            <w:tcW w:w="2821" w:type="dxa"/>
            <w:noWrap/>
            <w:tcMar>
              <w:top w:w="0" w:type="dxa"/>
              <w:left w:w="108" w:type="dxa"/>
              <w:bottom w:w="0" w:type="dxa"/>
              <w:right w:w="108" w:type="dxa"/>
            </w:tcMar>
            <w:vAlign w:val="center"/>
          </w:tcPr>
          <w:p w14:paraId="1930E251">
            <w:pPr>
              <w:rPr>
                <w:rFonts w:ascii="宋体" w:hAnsi="宋体" w:eastAsia="宋体"/>
                <w:sz w:val="22"/>
                <w:szCs w:val="22"/>
              </w:rPr>
            </w:pPr>
            <w:r>
              <w:rPr>
                <w:rFonts w:hint="eastAsia" w:ascii="宋体" w:hAnsi="宋体" w:eastAsia="宋体"/>
                <w:sz w:val="22"/>
                <w:szCs w:val="22"/>
              </w:rPr>
              <w:t>A.无整版墨色不平，整批颜色不均现象；</w:t>
            </w:r>
          </w:p>
          <w:p w14:paraId="0366F45A">
            <w:pPr>
              <w:rPr>
                <w:rFonts w:ascii="宋体" w:hAnsi="宋体" w:eastAsia="宋体"/>
                <w:sz w:val="22"/>
                <w:szCs w:val="22"/>
              </w:rPr>
            </w:pPr>
            <w:r>
              <w:rPr>
                <w:rFonts w:hint="eastAsia" w:ascii="宋体" w:hAnsi="宋体" w:eastAsia="宋体"/>
                <w:sz w:val="22"/>
                <w:szCs w:val="22"/>
              </w:rPr>
              <w:t>B.无白杠、墨杠。</w:t>
            </w:r>
          </w:p>
        </w:tc>
        <w:tc>
          <w:tcPr>
            <w:tcW w:w="1225" w:type="dxa"/>
            <w:noWrap/>
            <w:tcMar>
              <w:top w:w="0" w:type="dxa"/>
              <w:left w:w="108" w:type="dxa"/>
              <w:bottom w:w="0" w:type="dxa"/>
              <w:right w:w="108" w:type="dxa"/>
            </w:tcMar>
            <w:vAlign w:val="center"/>
          </w:tcPr>
          <w:p w14:paraId="1FB8D9A5">
            <w:pPr>
              <w:rPr>
                <w:rFonts w:ascii="宋体" w:hAnsi="宋体" w:eastAsia="宋体"/>
                <w:sz w:val="22"/>
                <w:szCs w:val="22"/>
              </w:rPr>
            </w:pPr>
          </w:p>
        </w:tc>
        <w:tc>
          <w:tcPr>
            <w:tcW w:w="1213" w:type="dxa"/>
            <w:noWrap/>
            <w:tcMar>
              <w:top w:w="0" w:type="dxa"/>
              <w:left w:w="108" w:type="dxa"/>
              <w:bottom w:w="0" w:type="dxa"/>
              <w:right w:w="108" w:type="dxa"/>
            </w:tcMar>
            <w:vAlign w:val="center"/>
          </w:tcPr>
          <w:p w14:paraId="11824438">
            <w:pPr>
              <w:rPr>
                <w:rFonts w:ascii="宋体" w:hAnsi="宋体" w:eastAsia="宋体"/>
                <w:sz w:val="22"/>
                <w:szCs w:val="22"/>
              </w:rPr>
            </w:pPr>
          </w:p>
        </w:tc>
        <w:tc>
          <w:tcPr>
            <w:tcW w:w="2125" w:type="dxa"/>
            <w:noWrap/>
            <w:tcMar>
              <w:top w:w="0" w:type="dxa"/>
              <w:left w:w="108" w:type="dxa"/>
              <w:bottom w:w="0" w:type="dxa"/>
              <w:right w:w="108" w:type="dxa"/>
            </w:tcMar>
            <w:vAlign w:val="center"/>
          </w:tcPr>
          <w:p w14:paraId="5C84FE90">
            <w:pPr>
              <w:rPr>
                <w:rFonts w:ascii="宋体" w:hAnsi="宋体" w:eastAsia="宋体"/>
                <w:sz w:val="22"/>
                <w:szCs w:val="22"/>
              </w:rPr>
            </w:pPr>
          </w:p>
        </w:tc>
      </w:tr>
      <w:tr w14:paraId="54226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51" w:type="dxa"/>
            <w:vMerge w:val="continue"/>
            <w:vAlign w:val="center"/>
          </w:tcPr>
          <w:p w14:paraId="3B929F43">
            <w:pPr>
              <w:widowControl/>
              <w:jc w:val="left"/>
              <w:rPr>
                <w:rFonts w:ascii="宋体" w:hAnsi="宋体" w:eastAsia="宋体"/>
                <w:sz w:val="22"/>
                <w:szCs w:val="22"/>
              </w:rPr>
            </w:pPr>
          </w:p>
        </w:tc>
        <w:tc>
          <w:tcPr>
            <w:tcW w:w="1276" w:type="dxa"/>
            <w:noWrap/>
            <w:tcMar>
              <w:top w:w="0" w:type="dxa"/>
              <w:left w:w="108" w:type="dxa"/>
              <w:bottom w:w="0" w:type="dxa"/>
              <w:right w:w="108" w:type="dxa"/>
            </w:tcMar>
            <w:vAlign w:val="center"/>
          </w:tcPr>
          <w:p w14:paraId="02F4A48F">
            <w:pPr>
              <w:rPr>
                <w:rFonts w:ascii="宋体" w:hAnsi="宋体" w:eastAsia="宋体"/>
                <w:sz w:val="22"/>
                <w:szCs w:val="22"/>
              </w:rPr>
            </w:pPr>
            <w:r>
              <w:rPr>
                <w:rFonts w:hint="eastAsia" w:ascii="宋体" w:hAnsi="宋体" w:eastAsia="宋体"/>
                <w:sz w:val="22"/>
                <w:szCs w:val="22"/>
              </w:rPr>
              <w:t>版面整洁性</w:t>
            </w:r>
          </w:p>
        </w:tc>
        <w:tc>
          <w:tcPr>
            <w:tcW w:w="2821" w:type="dxa"/>
            <w:noWrap/>
            <w:tcMar>
              <w:top w:w="0" w:type="dxa"/>
              <w:left w:w="108" w:type="dxa"/>
              <w:bottom w:w="0" w:type="dxa"/>
              <w:right w:w="108" w:type="dxa"/>
            </w:tcMar>
            <w:vAlign w:val="center"/>
          </w:tcPr>
          <w:p w14:paraId="7E59C5E8">
            <w:pPr>
              <w:rPr>
                <w:rFonts w:ascii="宋体" w:hAnsi="宋体" w:eastAsia="宋体"/>
                <w:sz w:val="22"/>
                <w:szCs w:val="22"/>
              </w:rPr>
            </w:pPr>
            <w:r>
              <w:rPr>
                <w:rFonts w:hint="eastAsia" w:ascii="宋体" w:hAnsi="宋体" w:eastAsia="宋体"/>
                <w:sz w:val="22"/>
                <w:szCs w:val="22"/>
              </w:rPr>
              <w:t>不起脏、糊版、堆墨、或有墨皮及橡皮的脏点、白点。</w:t>
            </w:r>
          </w:p>
        </w:tc>
        <w:tc>
          <w:tcPr>
            <w:tcW w:w="1225" w:type="dxa"/>
            <w:noWrap/>
            <w:tcMar>
              <w:top w:w="0" w:type="dxa"/>
              <w:left w:w="108" w:type="dxa"/>
              <w:bottom w:w="0" w:type="dxa"/>
              <w:right w:w="108" w:type="dxa"/>
            </w:tcMar>
            <w:vAlign w:val="center"/>
          </w:tcPr>
          <w:p w14:paraId="550A4BD2">
            <w:pPr>
              <w:rPr>
                <w:rFonts w:ascii="宋体" w:hAnsi="宋体" w:eastAsia="宋体"/>
                <w:sz w:val="22"/>
                <w:szCs w:val="22"/>
              </w:rPr>
            </w:pPr>
          </w:p>
        </w:tc>
        <w:tc>
          <w:tcPr>
            <w:tcW w:w="1213" w:type="dxa"/>
            <w:noWrap/>
            <w:tcMar>
              <w:top w:w="0" w:type="dxa"/>
              <w:left w:w="108" w:type="dxa"/>
              <w:bottom w:w="0" w:type="dxa"/>
              <w:right w:w="108" w:type="dxa"/>
            </w:tcMar>
            <w:vAlign w:val="center"/>
          </w:tcPr>
          <w:p w14:paraId="070B8F7C">
            <w:pPr>
              <w:rPr>
                <w:rFonts w:ascii="宋体" w:hAnsi="宋体" w:eastAsia="宋体"/>
                <w:sz w:val="22"/>
                <w:szCs w:val="22"/>
              </w:rPr>
            </w:pPr>
          </w:p>
        </w:tc>
        <w:tc>
          <w:tcPr>
            <w:tcW w:w="2125" w:type="dxa"/>
            <w:noWrap/>
            <w:tcMar>
              <w:top w:w="0" w:type="dxa"/>
              <w:left w:w="108" w:type="dxa"/>
              <w:bottom w:w="0" w:type="dxa"/>
              <w:right w:w="108" w:type="dxa"/>
            </w:tcMar>
            <w:vAlign w:val="center"/>
          </w:tcPr>
          <w:p w14:paraId="682C8601">
            <w:pPr>
              <w:rPr>
                <w:rFonts w:ascii="宋体" w:hAnsi="宋体" w:eastAsia="宋体"/>
                <w:sz w:val="22"/>
                <w:szCs w:val="22"/>
              </w:rPr>
            </w:pPr>
          </w:p>
        </w:tc>
      </w:tr>
      <w:tr w14:paraId="0FA61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51" w:type="dxa"/>
            <w:vMerge w:val="continue"/>
            <w:vAlign w:val="center"/>
          </w:tcPr>
          <w:p w14:paraId="5AA0C330">
            <w:pPr>
              <w:widowControl/>
              <w:jc w:val="left"/>
              <w:rPr>
                <w:rFonts w:ascii="宋体" w:hAnsi="宋体" w:eastAsia="宋体"/>
                <w:sz w:val="22"/>
                <w:szCs w:val="22"/>
              </w:rPr>
            </w:pPr>
          </w:p>
        </w:tc>
        <w:tc>
          <w:tcPr>
            <w:tcW w:w="1276" w:type="dxa"/>
            <w:noWrap/>
            <w:tcMar>
              <w:top w:w="0" w:type="dxa"/>
              <w:left w:w="108" w:type="dxa"/>
              <w:bottom w:w="0" w:type="dxa"/>
              <w:right w:w="108" w:type="dxa"/>
            </w:tcMar>
            <w:vAlign w:val="center"/>
          </w:tcPr>
          <w:p w14:paraId="646CF4C8">
            <w:pPr>
              <w:rPr>
                <w:rFonts w:ascii="宋体" w:hAnsi="宋体" w:eastAsia="宋体"/>
                <w:sz w:val="22"/>
                <w:szCs w:val="22"/>
              </w:rPr>
            </w:pPr>
            <w:r>
              <w:rPr>
                <w:rFonts w:hint="eastAsia" w:ascii="宋体" w:hAnsi="宋体" w:eastAsia="宋体"/>
                <w:sz w:val="22"/>
                <w:szCs w:val="22"/>
              </w:rPr>
              <w:t>油墨干燥度</w:t>
            </w:r>
          </w:p>
        </w:tc>
        <w:tc>
          <w:tcPr>
            <w:tcW w:w="2821" w:type="dxa"/>
            <w:noWrap/>
            <w:tcMar>
              <w:top w:w="0" w:type="dxa"/>
              <w:left w:w="108" w:type="dxa"/>
              <w:bottom w:w="0" w:type="dxa"/>
              <w:right w:w="108" w:type="dxa"/>
            </w:tcMar>
            <w:vAlign w:val="center"/>
          </w:tcPr>
          <w:p w14:paraId="42F78F85">
            <w:pPr>
              <w:rPr>
                <w:rFonts w:ascii="宋体" w:hAnsi="宋体" w:eastAsia="宋体"/>
                <w:sz w:val="22"/>
                <w:szCs w:val="22"/>
              </w:rPr>
            </w:pPr>
            <w:r>
              <w:rPr>
                <w:rFonts w:hint="eastAsia" w:ascii="宋体" w:hAnsi="宋体" w:eastAsia="宋体"/>
                <w:sz w:val="22"/>
                <w:szCs w:val="22"/>
              </w:rPr>
              <w:t>不粘底、粘连、粘手。</w:t>
            </w:r>
          </w:p>
        </w:tc>
        <w:tc>
          <w:tcPr>
            <w:tcW w:w="1225" w:type="dxa"/>
            <w:noWrap/>
            <w:tcMar>
              <w:top w:w="0" w:type="dxa"/>
              <w:left w:w="108" w:type="dxa"/>
              <w:bottom w:w="0" w:type="dxa"/>
              <w:right w:w="108" w:type="dxa"/>
            </w:tcMar>
            <w:vAlign w:val="center"/>
          </w:tcPr>
          <w:p w14:paraId="2E49CC9D">
            <w:pPr>
              <w:rPr>
                <w:rFonts w:ascii="宋体" w:hAnsi="宋体" w:eastAsia="宋体"/>
                <w:sz w:val="22"/>
                <w:szCs w:val="22"/>
              </w:rPr>
            </w:pPr>
          </w:p>
        </w:tc>
        <w:tc>
          <w:tcPr>
            <w:tcW w:w="1213" w:type="dxa"/>
            <w:noWrap/>
            <w:tcMar>
              <w:top w:w="0" w:type="dxa"/>
              <w:left w:w="108" w:type="dxa"/>
              <w:bottom w:w="0" w:type="dxa"/>
              <w:right w:w="108" w:type="dxa"/>
            </w:tcMar>
            <w:vAlign w:val="center"/>
          </w:tcPr>
          <w:p w14:paraId="603B8112">
            <w:pPr>
              <w:rPr>
                <w:rFonts w:ascii="宋体" w:hAnsi="宋体" w:eastAsia="宋体"/>
                <w:sz w:val="22"/>
                <w:szCs w:val="22"/>
              </w:rPr>
            </w:pPr>
          </w:p>
        </w:tc>
        <w:tc>
          <w:tcPr>
            <w:tcW w:w="2125" w:type="dxa"/>
            <w:noWrap/>
            <w:tcMar>
              <w:top w:w="0" w:type="dxa"/>
              <w:left w:w="108" w:type="dxa"/>
              <w:bottom w:w="0" w:type="dxa"/>
              <w:right w:w="108" w:type="dxa"/>
            </w:tcMar>
            <w:vAlign w:val="center"/>
          </w:tcPr>
          <w:p w14:paraId="7118484D">
            <w:pPr>
              <w:rPr>
                <w:rFonts w:ascii="宋体" w:hAnsi="宋体" w:eastAsia="宋体"/>
                <w:sz w:val="22"/>
                <w:szCs w:val="22"/>
              </w:rPr>
            </w:pPr>
          </w:p>
        </w:tc>
      </w:tr>
      <w:tr w14:paraId="498D0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51" w:type="dxa"/>
            <w:vMerge w:val="continue"/>
            <w:vAlign w:val="center"/>
          </w:tcPr>
          <w:p w14:paraId="7A42229F">
            <w:pPr>
              <w:widowControl/>
              <w:jc w:val="left"/>
              <w:rPr>
                <w:rFonts w:ascii="宋体" w:hAnsi="宋体" w:eastAsia="宋体"/>
                <w:sz w:val="22"/>
                <w:szCs w:val="22"/>
              </w:rPr>
            </w:pPr>
          </w:p>
        </w:tc>
        <w:tc>
          <w:tcPr>
            <w:tcW w:w="1276" w:type="dxa"/>
            <w:noWrap/>
            <w:tcMar>
              <w:top w:w="0" w:type="dxa"/>
              <w:left w:w="108" w:type="dxa"/>
              <w:bottom w:w="0" w:type="dxa"/>
              <w:right w:w="108" w:type="dxa"/>
            </w:tcMar>
            <w:vAlign w:val="center"/>
          </w:tcPr>
          <w:p w14:paraId="56373754">
            <w:pPr>
              <w:rPr>
                <w:rFonts w:ascii="宋体" w:hAnsi="宋体" w:eastAsia="宋体"/>
                <w:sz w:val="22"/>
                <w:szCs w:val="22"/>
              </w:rPr>
            </w:pPr>
            <w:r>
              <w:rPr>
                <w:rFonts w:hint="eastAsia" w:ascii="宋体" w:hAnsi="宋体" w:eastAsia="宋体"/>
                <w:sz w:val="22"/>
                <w:szCs w:val="22"/>
              </w:rPr>
              <w:t>油墨粘结力</w:t>
            </w:r>
          </w:p>
        </w:tc>
        <w:tc>
          <w:tcPr>
            <w:tcW w:w="2821" w:type="dxa"/>
            <w:noWrap/>
            <w:tcMar>
              <w:top w:w="0" w:type="dxa"/>
              <w:left w:w="108" w:type="dxa"/>
              <w:bottom w:w="0" w:type="dxa"/>
              <w:right w:w="108" w:type="dxa"/>
            </w:tcMar>
            <w:vAlign w:val="center"/>
          </w:tcPr>
          <w:p w14:paraId="1F527E3D">
            <w:pPr>
              <w:rPr>
                <w:rFonts w:ascii="宋体" w:hAnsi="宋体" w:eastAsia="宋体"/>
                <w:sz w:val="22"/>
                <w:szCs w:val="22"/>
              </w:rPr>
            </w:pPr>
            <w:r>
              <w:rPr>
                <w:rFonts w:hint="eastAsia" w:ascii="宋体" w:hAnsi="宋体" w:eastAsia="宋体"/>
                <w:sz w:val="22"/>
                <w:szCs w:val="22"/>
              </w:rPr>
              <w:t>粘结力良好，不易擦掉、拉上色墨。</w:t>
            </w:r>
          </w:p>
        </w:tc>
        <w:tc>
          <w:tcPr>
            <w:tcW w:w="1225" w:type="dxa"/>
            <w:noWrap/>
            <w:tcMar>
              <w:top w:w="0" w:type="dxa"/>
              <w:left w:w="108" w:type="dxa"/>
              <w:bottom w:w="0" w:type="dxa"/>
              <w:right w:w="108" w:type="dxa"/>
            </w:tcMar>
            <w:vAlign w:val="center"/>
          </w:tcPr>
          <w:p w14:paraId="3AC1B324">
            <w:pPr>
              <w:rPr>
                <w:rFonts w:ascii="宋体" w:hAnsi="宋体" w:eastAsia="宋体"/>
                <w:sz w:val="22"/>
                <w:szCs w:val="22"/>
              </w:rPr>
            </w:pPr>
          </w:p>
        </w:tc>
        <w:tc>
          <w:tcPr>
            <w:tcW w:w="1213" w:type="dxa"/>
            <w:noWrap/>
            <w:tcMar>
              <w:top w:w="0" w:type="dxa"/>
              <w:left w:w="108" w:type="dxa"/>
              <w:bottom w:w="0" w:type="dxa"/>
              <w:right w:w="108" w:type="dxa"/>
            </w:tcMar>
            <w:vAlign w:val="center"/>
          </w:tcPr>
          <w:p w14:paraId="340242C5">
            <w:pPr>
              <w:rPr>
                <w:rFonts w:ascii="宋体" w:hAnsi="宋体" w:eastAsia="宋体"/>
                <w:sz w:val="22"/>
                <w:szCs w:val="22"/>
              </w:rPr>
            </w:pPr>
          </w:p>
        </w:tc>
        <w:tc>
          <w:tcPr>
            <w:tcW w:w="2125" w:type="dxa"/>
            <w:noWrap/>
            <w:tcMar>
              <w:top w:w="0" w:type="dxa"/>
              <w:left w:w="108" w:type="dxa"/>
              <w:bottom w:w="0" w:type="dxa"/>
              <w:right w:w="108" w:type="dxa"/>
            </w:tcMar>
            <w:vAlign w:val="center"/>
          </w:tcPr>
          <w:p w14:paraId="0C0A6BF1">
            <w:pPr>
              <w:rPr>
                <w:rFonts w:ascii="宋体" w:hAnsi="宋体" w:eastAsia="宋体"/>
                <w:sz w:val="22"/>
                <w:szCs w:val="22"/>
              </w:rPr>
            </w:pPr>
          </w:p>
        </w:tc>
      </w:tr>
      <w:tr w14:paraId="36E8C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51" w:type="dxa"/>
            <w:vMerge w:val="continue"/>
            <w:vAlign w:val="center"/>
          </w:tcPr>
          <w:p w14:paraId="030391FB">
            <w:pPr>
              <w:widowControl/>
              <w:jc w:val="left"/>
              <w:rPr>
                <w:rFonts w:ascii="宋体" w:hAnsi="宋体" w:eastAsia="宋体"/>
                <w:sz w:val="22"/>
                <w:szCs w:val="22"/>
              </w:rPr>
            </w:pPr>
          </w:p>
        </w:tc>
        <w:tc>
          <w:tcPr>
            <w:tcW w:w="1276" w:type="dxa"/>
            <w:noWrap/>
            <w:tcMar>
              <w:top w:w="0" w:type="dxa"/>
              <w:left w:w="108" w:type="dxa"/>
              <w:bottom w:w="0" w:type="dxa"/>
              <w:right w:w="108" w:type="dxa"/>
            </w:tcMar>
            <w:vAlign w:val="center"/>
          </w:tcPr>
          <w:p w14:paraId="3B0408AD">
            <w:pPr>
              <w:rPr>
                <w:rFonts w:ascii="宋体" w:hAnsi="宋体" w:eastAsia="宋体"/>
                <w:sz w:val="22"/>
                <w:szCs w:val="22"/>
              </w:rPr>
            </w:pPr>
            <w:r>
              <w:rPr>
                <w:rFonts w:hint="eastAsia" w:ascii="宋体" w:hAnsi="宋体" w:eastAsia="宋体"/>
                <w:sz w:val="22"/>
                <w:szCs w:val="22"/>
              </w:rPr>
              <w:t>外来影</w:t>
            </w:r>
          </w:p>
        </w:tc>
        <w:tc>
          <w:tcPr>
            <w:tcW w:w="2821" w:type="dxa"/>
            <w:noWrap/>
            <w:tcMar>
              <w:top w:w="0" w:type="dxa"/>
              <w:left w:w="108" w:type="dxa"/>
              <w:bottom w:w="0" w:type="dxa"/>
              <w:right w:w="108" w:type="dxa"/>
            </w:tcMar>
            <w:vAlign w:val="center"/>
          </w:tcPr>
          <w:p w14:paraId="24CD9B0F">
            <w:pPr>
              <w:rPr>
                <w:rFonts w:ascii="宋体" w:hAnsi="宋体" w:eastAsia="宋体"/>
                <w:sz w:val="22"/>
                <w:szCs w:val="22"/>
              </w:rPr>
            </w:pPr>
            <w:r>
              <w:rPr>
                <w:rFonts w:hint="eastAsia" w:ascii="宋体" w:hAnsi="宋体" w:eastAsia="宋体"/>
                <w:sz w:val="22"/>
                <w:szCs w:val="22"/>
              </w:rPr>
              <w:t>无鬼影、龟纹</w:t>
            </w:r>
          </w:p>
        </w:tc>
        <w:tc>
          <w:tcPr>
            <w:tcW w:w="1225" w:type="dxa"/>
            <w:noWrap/>
            <w:tcMar>
              <w:top w:w="0" w:type="dxa"/>
              <w:left w:w="108" w:type="dxa"/>
              <w:bottom w:w="0" w:type="dxa"/>
              <w:right w:w="108" w:type="dxa"/>
            </w:tcMar>
            <w:vAlign w:val="center"/>
          </w:tcPr>
          <w:p w14:paraId="7EC2607E">
            <w:pPr>
              <w:rPr>
                <w:rFonts w:ascii="宋体" w:hAnsi="宋体" w:eastAsia="宋体"/>
                <w:sz w:val="22"/>
                <w:szCs w:val="22"/>
              </w:rPr>
            </w:pPr>
          </w:p>
        </w:tc>
        <w:tc>
          <w:tcPr>
            <w:tcW w:w="1213" w:type="dxa"/>
            <w:noWrap/>
            <w:tcMar>
              <w:top w:w="0" w:type="dxa"/>
              <w:left w:w="108" w:type="dxa"/>
              <w:bottom w:w="0" w:type="dxa"/>
              <w:right w:w="108" w:type="dxa"/>
            </w:tcMar>
            <w:vAlign w:val="center"/>
          </w:tcPr>
          <w:p w14:paraId="01FCBE02">
            <w:pPr>
              <w:rPr>
                <w:rFonts w:ascii="宋体" w:hAnsi="宋体" w:eastAsia="宋体"/>
                <w:sz w:val="22"/>
                <w:szCs w:val="22"/>
              </w:rPr>
            </w:pPr>
          </w:p>
        </w:tc>
        <w:tc>
          <w:tcPr>
            <w:tcW w:w="2125" w:type="dxa"/>
            <w:noWrap/>
            <w:tcMar>
              <w:top w:w="0" w:type="dxa"/>
              <w:left w:w="108" w:type="dxa"/>
              <w:bottom w:w="0" w:type="dxa"/>
              <w:right w:w="108" w:type="dxa"/>
            </w:tcMar>
            <w:vAlign w:val="center"/>
          </w:tcPr>
          <w:p w14:paraId="1C9B1903">
            <w:pPr>
              <w:rPr>
                <w:rFonts w:ascii="宋体" w:hAnsi="宋体" w:eastAsia="宋体"/>
                <w:sz w:val="22"/>
                <w:szCs w:val="22"/>
              </w:rPr>
            </w:pPr>
          </w:p>
        </w:tc>
      </w:tr>
      <w:tr w14:paraId="41C12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51" w:type="dxa"/>
            <w:vMerge w:val="continue"/>
            <w:vAlign w:val="center"/>
          </w:tcPr>
          <w:p w14:paraId="47763FB4">
            <w:pPr>
              <w:widowControl/>
              <w:jc w:val="left"/>
              <w:rPr>
                <w:rFonts w:ascii="宋体" w:hAnsi="宋体" w:eastAsia="宋体"/>
                <w:sz w:val="22"/>
                <w:szCs w:val="22"/>
              </w:rPr>
            </w:pPr>
          </w:p>
        </w:tc>
        <w:tc>
          <w:tcPr>
            <w:tcW w:w="1276" w:type="dxa"/>
            <w:noWrap/>
            <w:tcMar>
              <w:top w:w="0" w:type="dxa"/>
              <w:left w:w="108" w:type="dxa"/>
              <w:bottom w:w="0" w:type="dxa"/>
              <w:right w:w="108" w:type="dxa"/>
            </w:tcMar>
            <w:vAlign w:val="center"/>
          </w:tcPr>
          <w:p w14:paraId="1E76A586">
            <w:pPr>
              <w:rPr>
                <w:rFonts w:ascii="宋体" w:hAnsi="宋体" w:eastAsia="宋体"/>
                <w:sz w:val="22"/>
                <w:szCs w:val="22"/>
              </w:rPr>
            </w:pPr>
            <w:r>
              <w:rPr>
                <w:rFonts w:hint="eastAsia" w:ascii="宋体" w:hAnsi="宋体" w:eastAsia="宋体"/>
                <w:sz w:val="22"/>
                <w:szCs w:val="22"/>
              </w:rPr>
              <w:t>偏色度</w:t>
            </w:r>
          </w:p>
        </w:tc>
        <w:tc>
          <w:tcPr>
            <w:tcW w:w="2821" w:type="dxa"/>
            <w:noWrap/>
            <w:tcMar>
              <w:top w:w="0" w:type="dxa"/>
              <w:left w:w="108" w:type="dxa"/>
              <w:bottom w:w="0" w:type="dxa"/>
              <w:right w:w="108" w:type="dxa"/>
            </w:tcMar>
            <w:vAlign w:val="center"/>
          </w:tcPr>
          <w:p w14:paraId="48B8C3F2">
            <w:pPr>
              <w:rPr>
                <w:rFonts w:ascii="宋体" w:hAnsi="宋体" w:eastAsia="宋体"/>
                <w:sz w:val="22"/>
                <w:szCs w:val="22"/>
              </w:rPr>
            </w:pPr>
            <w:r>
              <w:rPr>
                <w:rFonts w:hint="eastAsia" w:ascii="宋体" w:hAnsi="宋体" w:eastAsia="宋体"/>
                <w:sz w:val="22"/>
                <w:szCs w:val="22"/>
              </w:rPr>
              <w:t xml:space="preserve">在 0.15 个墨度范围 </w:t>
            </w:r>
          </w:p>
        </w:tc>
        <w:tc>
          <w:tcPr>
            <w:tcW w:w="1225" w:type="dxa"/>
            <w:noWrap/>
            <w:tcMar>
              <w:top w:w="0" w:type="dxa"/>
              <w:left w:w="108" w:type="dxa"/>
              <w:bottom w:w="0" w:type="dxa"/>
              <w:right w:w="108" w:type="dxa"/>
            </w:tcMar>
            <w:vAlign w:val="center"/>
          </w:tcPr>
          <w:p w14:paraId="7341F294">
            <w:pPr>
              <w:rPr>
                <w:rFonts w:ascii="宋体" w:hAnsi="宋体" w:eastAsia="宋体"/>
                <w:sz w:val="22"/>
                <w:szCs w:val="22"/>
              </w:rPr>
            </w:pPr>
          </w:p>
        </w:tc>
        <w:tc>
          <w:tcPr>
            <w:tcW w:w="1213" w:type="dxa"/>
            <w:noWrap/>
            <w:tcMar>
              <w:top w:w="0" w:type="dxa"/>
              <w:left w:w="108" w:type="dxa"/>
              <w:bottom w:w="0" w:type="dxa"/>
              <w:right w:w="108" w:type="dxa"/>
            </w:tcMar>
            <w:vAlign w:val="center"/>
          </w:tcPr>
          <w:p w14:paraId="44040589">
            <w:pPr>
              <w:rPr>
                <w:rFonts w:ascii="宋体" w:hAnsi="宋体" w:eastAsia="宋体"/>
                <w:sz w:val="22"/>
                <w:szCs w:val="22"/>
              </w:rPr>
            </w:pPr>
          </w:p>
        </w:tc>
        <w:tc>
          <w:tcPr>
            <w:tcW w:w="2125" w:type="dxa"/>
            <w:noWrap/>
            <w:tcMar>
              <w:top w:w="0" w:type="dxa"/>
              <w:left w:w="108" w:type="dxa"/>
              <w:bottom w:w="0" w:type="dxa"/>
              <w:right w:w="108" w:type="dxa"/>
            </w:tcMar>
            <w:vAlign w:val="center"/>
          </w:tcPr>
          <w:p w14:paraId="1ABD1D32">
            <w:pPr>
              <w:rPr>
                <w:rFonts w:ascii="宋体" w:hAnsi="宋体" w:eastAsia="宋体"/>
                <w:sz w:val="22"/>
                <w:szCs w:val="22"/>
              </w:rPr>
            </w:pPr>
          </w:p>
        </w:tc>
      </w:tr>
      <w:tr w14:paraId="57E32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51" w:type="dxa"/>
            <w:vMerge w:val="continue"/>
            <w:vAlign w:val="center"/>
          </w:tcPr>
          <w:p w14:paraId="051E955D">
            <w:pPr>
              <w:widowControl/>
              <w:jc w:val="left"/>
              <w:rPr>
                <w:rFonts w:ascii="宋体" w:hAnsi="宋体" w:eastAsia="宋体"/>
                <w:sz w:val="22"/>
                <w:szCs w:val="22"/>
              </w:rPr>
            </w:pPr>
          </w:p>
        </w:tc>
        <w:tc>
          <w:tcPr>
            <w:tcW w:w="1276" w:type="dxa"/>
            <w:noWrap/>
            <w:tcMar>
              <w:top w:w="0" w:type="dxa"/>
              <w:left w:w="108" w:type="dxa"/>
              <w:bottom w:w="0" w:type="dxa"/>
              <w:right w:w="108" w:type="dxa"/>
            </w:tcMar>
            <w:vAlign w:val="center"/>
          </w:tcPr>
          <w:p w14:paraId="0154CB75">
            <w:pPr>
              <w:rPr>
                <w:rFonts w:ascii="宋体" w:hAnsi="宋体" w:eastAsia="宋体"/>
                <w:sz w:val="22"/>
                <w:szCs w:val="22"/>
              </w:rPr>
            </w:pPr>
            <w:r>
              <w:rPr>
                <w:rFonts w:hint="eastAsia" w:ascii="宋体" w:hAnsi="宋体" w:eastAsia="宋体"/>
                <w:sz w:val="22"/>
                <w:szCs w:val="22"/>
              </w:rPr>
              <w:t>字色套位偏差</w:t>
            </w:r>
          </w:p>
        </w:tc>
        <w:tc>
          <w:tcPr>
            <w:tcW w:w="2821" w:type="dxa"/>
            <w:noWrap/>
            <w:tcMar>
              <w:top w:w="0" w:type="dxa"/>
              <w:left w:w="108" w:type="dxa"/>
              <w:bottom w:w="0" w:type="dxa"/>
              <w:right w:w="108" w:type="dxa"/>
            </w:tcMar>
            <w:vAlign w:val="center"/>
          </w:tcPr>
          <w:p w14:paraId="2D0E0399">
            <w:pPr>
              <w:rPr>
                <w:rFonts w:ascii="宋体" w:hAnsi="宋体" w:eastAsia="宋体"/>
                <w:sz w:val="22"/>
                <w:szCs w:val="22"/>
              </w:rPr>
            </w:pPr>
            <w:r>
              <w:rPr>
                <w:rFonts w:hint="eastAsia" w:ascii="宋体" w:hAnsi="宋体" w:eastAsia="宋体"/>
                <w:sz w:val="22"/>
                <w:szCs w:val="22"/>
              </w:rPr>
              <w:t>小于 0.08mm 的距离</w:t>
            </w:r>
          </w:p>
        </w:tc>
        <w:tc>
          <w:tcPr>
            <w:tcW w:w="1225" w:type="dxa"/>
            <w:noWrap/>
            <w:tcMar>
              <w:top w:w="0" w:type="dxa"/>
              <w:left w:w="108" w:type="dxa"/>
              <w:bottom w:w="0" w:type="dxa"/>
              <w:right w:w="108" w:type="dxa"/>
            </w:tcMar>
            <w:vAlign w:val="center"/>
          </w:tcPr>
          <w:p w14:paraId="0DACD1FD">
            <w:pPr>
              <w:rPr>
                <w:rFonts w:ascii="宋体" w:hAnsi="宋体" w:eastAsia="宋体"/>
                <w:sz w:val="22"/>
                <w:szCs w:val="22"/>
              </w:rPr>
            </w:pPr>
          </w:p>
        </w:tc>
        <w:tc>
          <w:tcPr>
            <w:tcW w:w="1213" w:type="dxa"/>
            <w:noWrap/>
            <w:tcMar>
              <w:top w:w="0" w:type="dxa"/>
              <w:left w:w="108" w:type="dxa"/>
              <w:bottom w:w="0" w:type="dxa"/>
              <w:right w:w="108" w:type="dxa"/>
            </w:tcMar>
            <w:vAlign w:val="center"/>
          </w:tcPr>
          <w:p w14:paraId="3A0087E0">
            <w:pPr>
              <w:rPr>
                <w:rFonts w:ascii="宋体" w:hAnsi="宋体" w:eastAsia="宋体"/>
                <w:sz w:val="22"/>
                <w:szCs w:val="22"/>
              </w:rPr>
            </w:pPr>
          </w:p>
        </w:tc>
        <w:tc>
          <w:tcPr>
            <w:tcW w:w="2125" w:type="dxa"/>
            <w:noWrap/>
            <w:tcMar>
              <w:top w:w="0" w:type="dxa"/>
              <w:left w:w="108" w:type="dxa"/>
              <w:bottom w:w="0" w:type="dxa"/>
              <w:right w:w="108" w:type="dxa"/>
            </w:tcMar>
            <w:vAlign w:val="center"/>
          </w:tcPr>
          <w:p w14:paraId="233325EF">
            <w:pPr>
              <w:rPr>
                <w:rFonts w:ascii="宋体" w:hAnsi="宋体" w:eastAsia="宋体"/>
                <w:sz w:val="22"/>
                <w:szCs w:val="22"/>
              </w:rPr>
            </w:pPr>
          </w:p>
        </w:tc>
      </w:tr>
      <w:tr w14:paraId="2B54A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51" w:type="dxa"/>
            <w:vMerge w:val="continue"/>
            <w:vAlign w:val="center"/>
          </w:tcPr>
          <w:p w14:paraId="0712704F">
            <w:pPr>
              <w:widowControl/>
              <w:jc w:val="left"/>
              <w:rPr>
                <w:rFonts w:ascii="宋体" w:hAnsi="宋体" w:eastAsia="宋体"/>
                <w:sz w:val="22"/>
                <w:szCs w:val="22"/>
              </w:rPr>
            </w:pPr>
          </w:p>
        </w:tc>
        <w:tc>
          <w:tcPr>
            <w:tcW w:w="4097" w:type="dxa"/>
            <w:gridSpan w:val="2"/>
            <w:noWrap/>
            <w:tcMar>
              <w:top w:w="0" w:type="dxa"/>
              <w:left w:w="108" w:type="dxa"/>
              <w:bottom w:w="0" w:type="dxa"/>
              <w:right w:w="108" w:type="dxa"/>
            </w:tcMar>
            <w:vAlign w:val="center"/>
          </w:tcPr>
          <w:p w14:paraId="696B38AD">
            <w:pPr>
              <w:rPr>
                <w:rFonts w:ascii="宋体" w:hAnsi="宋体" w:eastAsia="宋体"/>
                <w:sz w:val="22"/>
                <w:szCs w:val="22"/>
              </w:rPr>
            </w:pPr>
            <w:r>
              <w:rPr>
                <w:rFonts w:hint="eastAsia" w:ascii="宋体" w:hAnsi="宋体" w:eastAsia="宋体"/>
                <w:sz w:val="22"/>
                <w:szCs w:val="22"/>
              </w:rPr>
              <w:t>卡基材质采用优质PVC/PET材料,空白卡面需经覆膜处理，图案精美、色泽鲜艳、表面耐磨，在正常应用情况下，图案不褪色、不剥落。</w:t>
            </w:r>
          </w:p>
        </w:tc>
        <w:tc>
          <w:tcPr>
            <w:tcW w:w="1225" w:type="dxa"/>
            <w:noWrap/>
            <w:tcMar>
              <w:top w:w="0" w:type="dxa"/>
              <w:left w:w="108" w:type="dxa"/>
              <w:bottom w:w="0" w:type="dxa"/>
              <w:right w:w="108" w:type="dxa"/>
            </w:tcMar>
            <w:vAlign w:val="center"/>
          </w:tcPr>
          <w:p w14:paraId="516A249B">
            <w:pPr>
              <w:rPr>
                <w:rFonts w:ascii="宋体" w:hAnsi="宋体" w:eastAsia="宋体"/>
                <w:sz w:val="22"/>
                <w:szCs w:val="22"/>
              </w:rPr>
            </w:pPr>
          </w:p>
        </w:tc>
        <w:tc>
          <w:tcPr>
            <w:tcW w:w="1213" w:type="dxa"/>
            <w:noWrap/>
            <w:tcMar>
              <w:top w:w="0" w:type="dxa"/>
              <w:left w:w="108" w:type="dxa"/>
              <w:bottom w:w="0" w:type="dxa"/>
              <w:right w:w="108" w:type="dxa"/>
            </w:tcMar>
            <w:vAlign w:val="center"/>
          </w:tcPr>
          <w:p w14:paraId="700B2D64">
            <w:pPr>
              <w:rPr>
                <w:rFonts w:ascii="宋体" w:hAnsi="宋体" w:eastAsia="宋体"/>
                <w:sz w:val="22"/>
                <w:szCs w:val="22"/>
              </w:rPr>
            </w:pPr>
          </w:p>
        </w:tc>
        <w:tc>
          <w:tcPr>
            <w:tcW w:w="2125" w:type="dxa"/>
            <w:noWrap/>
            <w:tcMar>
              <w:top w:w="0" w:type="dxa"/>
              <w:left w:w="108" w:type="dxa"/>
              <w:bottom w:w="0" w:type="dxa"/>
              <w:right w:w="108" w:type="dxa"/>
            </w:tcMar>
            <w:vAlign w:val="center"/>
          </w:tcPr>
          <w:p w14:paraId="55920C60">
            <w:pPr>
              <w:rPr>
                <w:rFonts w:ascii="宋体" w:hAnsi="宋体" w:eastAsia="宋体"/>
                <w:sz w:val="22"/>
                <w:szCs w:val="22"/>
              </w:rPr>
            </w:pPr>
          </w:p>
        </w:tc>
      </w:tr>
      <w:tr w14:paraId="2BBB7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51" w:type="dxa"/>
            <w:vMerge w:val="restart"/>
            <w:noWrap/>
            <w:tcMar>
              <w:top w:w="0" w:type="dxa"/>
              <w:left w:w="108" w:type="dxa"/>
              <w:bottom w:w="0" w:type="dxa"/>
              <w:right w:w="108" w:type="dxa"/>
            </w:tcMar>
            <w:vAlign w:val="center"/>
          </w:tcPr>
          <w:p w14:paraId="64D6150E">
            <w:pPr>
              <w:jc w:val="center"/>
              <w:rPr>
                <w:rFonts w:ascii="宋体" w:hAnsi="宋体" w:eastAsia="宋体"/>
                <w:sz w:val="22"/>
                <w:szCs w:val="22"/>
              </w:rPr>
            </w:pPr>
            <w:r>
              <w:rPr>
                <w:rFonts w:hint="eastAsia" w:ascii="宋体" w:hAnsi="宋体" w:eastAsia="宋体"/>
                <w:sz w:val="22"/>
                <w:szCs w:val="22"/>
              </w:rPr>
              <w:t>7</w:t>
            </w:r>
          </w:p>
        </w:tc>
        <w:tc>
          <w:tcPr>
            <w:tcW w:w="4097" w:type="dxa"/>
            <w:gridSpan w:val="2"/>
            <w:noWrap/>
            <w:tcMar>
              <w:top w:w="0" w:type="dxa"/>
              <w:left w:w="108" w:type="dxa"/>
              <w:bottom w:w="0" w:type="dxa"/>
              <w:right w:w="108" w:type="dxa"/>
            </w:tcMar>
            <w:vAlign w:val="center"/>
          </w:tcPr>
          <w:p w14:paraId="03F2A29D">
            <w:pPr>
              <w:rPr>
                <w:rFonts w:ascii="宋体" w:hAnsi="宋体" w:eastAsia="宋体"/>
                <w:sz w:val="22"/>
                <w:szCs w:val="22"/>
              </w:rPr>
            </w:pPr>
            <w:r>
              <w:rPr>
                <w:rFonts w:hint="eastAsia" w:ascii="宋体" w:hAnsi="宋体" w:eastAsia="宋体"/>
                <w:sz w:val="22"/>
                <w:szCs w:val="22"/>
              </w:rPr>
              <w:t>卡片机电特性：卡片的机械特性、电气特性要符合相关卡片规范，遵从ISO/IEC7816系列标准</w:t>
            </w:r>
          </w:p>
        </w:tc>
        <w:tc>
          <w:tcPr>
            <w:tcW w:w="1225" w:type="dxa"/>
            <w:noWrap/>
            <w:tcMar>
              <w:top w:w="0" w:type="dxa"/>
              <w:left w:w="108" w:type="dxa"/>
              <w:bottom w:w="0" w:type="dxa"/>
              <w:right w:w="108" w:type="dxa"/>
            </w:tcMar>
            <w:vAlign w:val="center"/>
          </w:tcPr>
          <w:p w14:paraId="0E55236D">
            <w:pPr>
              <w:rPr>
                <w:rFonts w:ascii="宋体" w:hAnsi="宋体" w:eastAsia="宋体"/>
                <w:sz w:val="22"/>
                <w:szCs w:val="22"/>
              </w:rPr>
            </w:pPr>
          </w:p>
        </w:tc>
        <w:tc>
          <w:tcPr>
            <w:tcW w:w="1213" w:type="dxa"/>
            <w:noWrap/>
            <w:tcMar>
              <w:top w:w="0" w:type="dxa"/>
              <w:left w:w="108" w:type="dxa"/>
              <w:bottom w:w="0" w:type="dxa"/>
              <w:right w:w="108" w:type="dxa"/>
            </w:tcMar>
            <w:vAlign w:val="center"/>
          </w:tcPr>
          <w:p w14:paraId="733CBD86">
            <w:pPr>
              <w:rPr>
                <w:rFonts w:ascii="宋体" w:hAnsi="宋体" w:eastAsia="宋体"/>
                <w:sz w:val="22"/>
                <w:szCs w:val="22"/>
              </w:rPr>
            </w:pPr>
          </w:p>
        </w:tc>
        <w:tc>
          <w:tcPr>
            <w:tcW w:w="2125" w:type="dxa"/>
            <w:noWrap/>
            <w:tcMar>
              <w:top w:w="0" w:type="dxa"/>
              <w:left w:w="108" w:type="dxa"/>
              <w:bottom w:w="0" w:type="dxa"/>
              <w:right w:w="108" w:type="dxa"/>
            </w:tcMar>
            <w:vAlign w:val="center"/>
          </w:tcPr>
          <w:p w14:paraId="7A592EBB">
            <w:pPr>
              <w:rPr>
                <w:rFonts w:ascii="宋体" w:hAnsi="宋体" w:eastAsia="宋体"/>
                <w:sz w:val="22"/>
                <w:szCs w:val="22"/>
              </w:rPr>
            </w:pPr>
          </w:p>
        </w:tc>
      </w:tr>
      <w:tr w14:paraId="0A2C6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51" w:type="dxa"/>
            <w:vMerge w:val="continue"/>
            <w:vAlign w:val="center"/>
          </w:tcPr>
          <w:p w14:paraId="32285283">
            <w:pPr>
              <w:widowControl/>
              <w:jc w:val="left"/>
              <w:rPr>
                <w:rFonts w:ascii="宋体" w:hAnsi="宋体" w:eastAsia="宋体"/>
                <w:sz w:val="22"/>
                <w:szCs w:val="22"/>
              </w:rPr>
            </w:pPr>
          </w:p>
        </w:tc>
        <w:tc>
          <w:tcPr>
            <w:tcW w:w="1276" w:type="dxa"/>
            <w:noWrap/>
            <w:tcMar>
              <w:top w:w="0" w:type="dxa"/>
              <w:left w:w="108" w:type="dxa"/>
              <w:bottom w:w="0" w:type="dxa"/>
              <w:right w:w="108" w:type="dxa"/>
            </w:tcMar>
            <w:vAlign w:val="center"/>
          </w:tcPr>
          <w:p w14:paraId="4FF22D27">
            <w:pPr>
              <w:rPr>
                <w:rFonts w:ascii="宋体" w:hAnsi="宋体" w:eastAsia="宋体"/>
                <w:sz w:val="22"/>
                <w:szCs w:val="22"/>
              </w:rPr>
            </w:pPr>
            <w:r>
              <w:rPr>
                <w:rFonts w:hint="eastAsia" w:ascii="宋体" w:hAnsi="宋体" w:eastAsia="宋体"/>
                <w:sz w:val="22"/>
                <w:szCs w:val="22"/>
              </w:rPr>
              <w:t>模块高度</w:t>
            </w:r>
          </w:p>
          <w:p w14:paraId="18BB0889">
            <w:pPr>
              <w:rPr>
                <w:rFonts w:ascii="宋体" w:hAnsi="宋体" w:eastAsia="宋体"/>
                <w:sz w:val="22"/>
                <w:szCs w:val="22"/>
              </w:rPr>
            </w:pPr>
            <w:r>
              <w:rPr>
                <w:rFonts w:hint="eastAsia" w:ascii="宋体" w:hAnsi="宋体" w:eastAsia="宋体"/>
                <w:sz w:val="22"/>
                <w:szCs w:val="22"/>
              </w:rPr>
              <w:t> </w:t>
            </w:r>
          </w:p>
        </w:tc>
        <w:tc>
          <w:tcPr>
            <w:tcW w:w="2821" w:type="dxa"/>
            <w:noWrap/>
            <w:tcMar>
              <w:top w:w="0" w:type="dxa"/>
              <w:left w:w="108" w:type="dxa"/>
              <w:bottom w:w="0" w:type="dxa"/>
              <w:right w:w="108" w:type="dxa"/>
            </w:tcMar>
          </w:tcPr>
          <w:p w14:paraId="5A4341AA">
            <w:pPr>
              <w:rPr>
                <w:rFonts w:ascii="宋体" w:hAnsi="宋体" w:eastAsia="宋体"/>
                <w:sz w:val="22"/>
                <w:szCs w:val="22"/>
              </w:rPr>
            </w:pPr>
            <w:r>
              <w:rPr>
                <w:rFonts w:hint="eastAsia" w:ascii="宋体" w:hAnsi="宋体" w:eastAsia="宋体"/>
                <w:sz w:val="22"/>
                <w:szCs w:val="22"/>
              </w:rPr>
              <w:t>IC模块表面的最高点不应高于卡表面平面0.05mm</w:t>
            </w:r>
          </w:p>
          <w:p w14:paraId="613B050D">
            <w:pPr>
              <w:rPr>
                <w:rFonts w:ascii="宋体" w:hAnsi="宋体" w:eastAsia="宋体"/>
                <w:sz w:val="22"/>
                <w:szCs w:val="22"/>
              </w:rPr>
            </w:pPr>
            <w:r>
              <w:rPr>
                <w:rFonts w:hint="eastAsia" w:ascii="宋体" w:hAnsi="宋体" w:eastAsia="宋体"/>
                <w:sz w:val="22"/>
                <w:szCs w:val="22"/>
              </w:rPr>
              <w:t>IC模块表面的最低点不应低于卡表面平面0.05mm</w:t>
            </w:r>
          </w:p>
        </w:tc>
        <w:tc>
          <w:tcPr>
            <w:tcW w:w="1225" w:type="dxa"/>
            <w:noWrap/>
            <w:tcMar>
              <w:top w:w="0" w:type="dxa"/>
              <w:left w:w="108" w:type="dxa"/>
              <w:bottom w:w="0" w:type="dxa"/>
              <w:right w:w="108" w:type="dxa"/>
            </w:tcMar>
          </w:tcPr>
          <w:p w14:paraId="303DABF3">
            <w:pPr>
              <w:rPr>
                <w:rFonts w:ascii="宋体" w:hAnsi="宋体" w:eastAsia="宋体"/>
                <w:sz w:val="22"/>
                <w:szCs w:val="22"/>
              </w:rPr>
            </w:pPr>
          </w:p>
        </w:tc>
        <w:tc>
          <w:tcPr>
            <w:tcW w:w="1213" w:type="dxa"/>
            <w:noWrap/>
            <w:tcMar>
              <w:top w:w="0" w:type="dxa"/>
              <w:left w:w="108" w:type="dxa"/>
              <w:bottom w:w="0" w:type="dxa"/>
              <w:right w:w="108" w:type="dxa"/>
            </w:tcMar>
          </w:tcPr>
          <w:p w14:paraId="48FA5627">
            <w:pPr>
              <w:rPr>
                <w:rFonts w:ascii="宋体" w:hAnsi="宋体" w:eastAsia="宋体"/>
                <w:sz w:val="22"/>
                <w:szCs w:val="22"/>
              </w:rPr>
            </w:pPr>
          </w:p>
        </w:tc>
        <w:tc>
          <w:tcPr>
            <w:tcW w:w="2125" w:type="dxa"/>
            <w:noWrap/>
            <w:tcMar>
              <w:top w:w="0" w:type="dxa"/>
              <w:left w:w="108" w:type="dxa"/>
              <w:bottom w:w="0" w:type="dxa"/>
              <w:right w:w="108" w:type="dxa"/>
            </w:tcMar>
          </w:tcPr>
          <w:p w14:paraId="3F650A34">
            <w:pPr>
              <w:rPr>
                <w:rFonts w:ascii="宋体" w:hAnsi="宋体" w:eastAsia="宋体"/>
                <w:sz w:val="22"/>
                <w:szCs w:val="22"/>
              </w:rPr>
            </w:pPr>
          </w:p>
        </w:tc>
      </w:tr>
      <w:tr w14:paraId="77C82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51" w:type="dxa"/>
            <w:vMerge w:val="continue"/>
            <w:vAlign w:val="center"/>
          </w:tcPr>
          <w:p w14:paraId="0165F659">
            <w:pPr>
              <w:widowControl/>
              <w:jc w:val="left"/>
              <w:rPr>
                <w:rFonts w:ascii="宋体" w:hAnsi="宋体" w:eastAsia="宋体"/>
                <w:sz w:val="22"/>
                <w:szCs w:val="22"/>
              </w:rPr>
            </w:pPr>
          </w:p>
        </w:tc>
        <w:tc>
          <w:tcPr>
            <w:tcW w:w="1276" w:type="dxa"/>
            <w:noWrap/>
            <w:tcMar>
              <w:top w:w="0" w:type="dxa"/>
              <w:left w:w="108" w:type="dxa"/>
              <w:bottom w:w="0" w:type="dxa"/>
              <w:right w:w="108" w:type="dxa"/>
            </w:tcMar>
            <w:vAlign w:val="center"/>
          </w:tcPr>
          <w:p w14:paraId="3FA8681C">
            <w:pPr>
              <w:rPr>
                <w:rFonts w:ascii="宋体" w:hAnsi="宋体" w:eastAsia="宋体"/>
                <w:sz w:val="22"/>
                <w:szCs w:val="22"/>
              </w:rPr>
            </w:pPr>
            <w:r>
              <w:rPr>
                <w:rFonts w:hint="eastAsia" w:ascii="宋体" w:hAnsi="宋体" w:eastAsia="宋体"/>
                <w:sz w:val="22"/>
                <w:szCs w:val="22"/>
              </w:rPr>
              <w:t>整卡翘曲度</w:t>
            </w:r>
          </w:p>
        </w:tc>
        <w:tc>
          <w:tcPr>
            <w:tcW w:w="2821" w:type="dxa"/>
            <w:noWrap/>
            <w:tcMar>
              <w:top w:w="0" w:type="dxa"/>
              <w:left w:w="108" w:type="dxa"/>
              <w:bottom w:w="0" w:type="dxa"/>
              <w:right w:w="108" w:type="dxa"/>
            </w:tcMar>
          </w:tcPr>
          <w:p w14:paraId="3AAEC15B">
            <w:pPr>
              <w:rPr>
                <w:rFonts w:ascii="宋体" w:hAnsi="宋体" w:eastAsia="宋体"/>
                <w:sz w:val="22"/>
                <w:szCs w:val="22"/>
              </w:rPr>
            </w:pPr>
            <w:r>
              <w:rPr>
                <w:rFonts w:hint="eastAsia" w:ascii="宋体" w:hAnsi="宋体" w:eastAsia="宋体"/>
                <w:sz w:val="22"/>
                <w:szCs w:val="22"/>
              </w:rPr>
              <w:t>翘曲最大值应不大于1.5mm</w:t>
            </w:r>
          </w:p>
          <w:p w14:paraId="5D3C946D">
            <w:pPr>
              <w:rPr>
                <w:rFonts w:ascii="宋体" w:hAnsi="宋体" w:eastAsia="宋体"/>
                <w:sz w:val="22"/>
                <w:szCs w:val="22"/>
              </w:rPr>
            </w:pPr>
            <w:r>
              <w:rPr>
                <w:rFonts w:hint="eastAsia" w:ascii="宋体" w:hAnsi="宋体" w:eastAsia="宋体"/>
                <w:sz w:val="22"/>
                <w:szCs w:val="22"/>
              </w:rPr>
              <w:t>卡片切边毛刺长度：＜0.08mm</w:t>
            </w:r>
          </w:p>
        </w:tc>
        <w:tc>
          <w:tcPr>
            <w:tcW w:w="1225" w:type="dxa"/>
            <w:noWrap/>
            <w:tcMar>
              <w:top w:w="0" w:type="dxa"/>
              <w:left w:w="108" w:type="dxa"/>
              <w:bottom w:w="0" w:type="dxa"/>
              <w:right w:w="108" w:type="dxa"/>
            </w:tcMar>
          </w:tcPr>
          <w:p w14:paraId="781707AA">
            <w:pPr>
              <w:rPr>
                <w:rFonts w:ascii="宋体" w:hAnsi="宋体" w:eastAsia="宋体"/>
                <w:sz w:val="22"/>
                <w:szCs w:val="22"/>
              </w:rPr>
            </w:pPr>
          </w:p>
        </w:tc>
        <w:tc>
          <w:tcPr>
            <w:tcW w:w="1213" w:type="dxa"/>
            <w:noWrap/>
            <w:tcMar>
              <w:top w:w="0" w:type="dxa"/>
              <w:left w:w="108" w:type="dxa"/>
              <w:bottom w:w="0" w:type="dxa"/>
              <w:right w:w="108" w:type="dxa"/>
            </w:tcMar>
          </w:tcPr>
          <w:p w14:paraId="268DFE71">
            <w:pPr>
              <w:rPr>
                <w:rFonts w:ascii="宋体" w:hAnsi="宋体" w:eastAsia="宋体"/>
                <w:sz w:val="22"/>
                <w:szCs w:val="22"/>
              </w:rPr>
            </w:pPr>
          </w:p>
        </w:tc>
        <w:tc>
          <w:tcPr>
            <w:tcW w:w="2125" w:type="dxa"/>
            <w:noWrap/>
            <w:tcMar>
              <w:top w:w="0" w:type="dxa"/>
              <w:left w:w="108" w:type="dxa"/>
              <w:bottom w:w="0" w:type="dxa"/>
              <w:right w:w="108" w:type="dxa"/>
            </w:tcMar>
          </w:tcPr>
          <w:p w14:paraId="62B2D673">
            <w:pPr>
              <w:rPr>
                <w:rFonts w:ascii="宋体" w:hAnsi="宋体" w:eastAsia="宋体"/>
                <w:sz w:val="22"/>
                <w:szCs w:val="22"/>
              </w:rPr>
            </w:pPr>
          </w:p>
        </w:tc>
      </w:tr>
      <w:tr w14:paraId="07FC3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51" w:type="dxa"/>
            <w:vMerge w:val="continue"/>
            <w:vAlign w:val="center"/>
          </w:tcPr>
          <w:p w14:paraId="7C9C1388">
            <w:pPr>
              <w:widowControl/>
              <w:jc w:val="left"/>
              <w:rPr>
                <w:rFonts w:ascii="宋体" w:hAnsi="宋体" w:eastAsia="宋体"/>
                <w:sz w:val="22"/>
                <w:szCs w:val="22"/>
              </w:rPr>
            </w:pPr>
          </w:p>
        </w:tc>
        <w:tc>
          <w:tcPr>
            <w:tcW w:w="1276" w:type="dxa"/>
            <w:noWrap/>
            <w:tcMar>
              <w:top w:w="0" w:type="dxa"/>
              <w:left w:w="108" w:type="dxa"/>
              <w:bottom w:w="0" w:type="dxa"/>
              <w:right w:w="108" w:type="dxa"/>
            </w:tcMar>
            <w:vAlign w:val="center"/>
          </w:tcPr>
          <w:p w14:paraId="0AA642C5">
            <w:pPr>
              <w:rPr>
                <w:rFonts w:ascii="宋体" w:hAnsi="宋体" w:eastAsia="宋体"/>
                <w:sz w:val="22"/>
                <w:szCs w:val="22"/>
              </w:rPr>
            </w:pPr>
            <w:r>
              <w:rPr>
                <w:rFonts w:hint="eastAsia" w:ascii="宋体" w:hAnsi="宋体" w:eastAsia="宋体"/>
                <w:sz w:val="22"/>
                <w:szCs w:val="22"/>
              </w:rPr>
              <w:t>弯曲刚度</w:t>
            </w:r>
          </w:p>
        </w:tc>
        <w:tc>
          <w:tcPr>
            <w:tcW w:w="2821" w:type="dxa"/>
            <w:noWrap/>
            <w:tcMar>
              <w:top w:w="0" w:type="dxa"/>
              <w:left w:w="108" w:type="dxa"/>
              <w:bottom w:w="0" w:type="dxa"/>
              <w:right w:w="108" w:type="dxa"/>
            </w:tcMar>
          </w:tcPr>
          <w:p w14:paraId="275C2482">
            <w:pPr>
              <w:rPr>
                <w:rFonts w:ascii="宋体" w:hAnsi="宋体" w:eastAsia="宋体"/>
                <w:sz w:val="22"/>
                <w:szCs w:val="22"/>
              </w:rPr>
            </w:pPr>
            <w:r>
              <w:rPr>
                <w:rFonts w:hint="eastAsia" w:ascii="宋体" w:hAnsi="宋体" w:eastAsia="宋体"/>
                <w:sz w:val="22"/>
                <w:szCs w:val="22"/>
              </w:rPr>
              <w:t>弹性变形量应在3mm与35mm之间</w:t>
            </w:r>
          </w:p>
          <w:p w14:paraId="14F157C3">
            <w:pPr>
              <w:rPr>
                <w:rFonts w:ascii="宋体" w:hAnsi="宋体" w:eastAsia="宋体"/>
                <w:sz w:val="22"/>
                <w:szCs w:val="22"/>
              </w:rPr>
            </w:pPr>
            <w:r>
              <w:rPr>
                <w:rFonts w:hint="eastAsia" w:ascii="宋体" w:hAnsi="宋体" w:eastAsia="宋体"/>
                <w:sz w:val="22"/>
                <w:szCs w:val="22"/>
              </w:rPr>
              <w:t>塑性变形量应小于1.5mm</w:t>
            </w:r>
          </w:p>
        </w:tc>
        <w:tc>
          <w:tcPr>
            <w:tcW w:w="1225" w:type="dxa"/>
            <w:noWrap/>
            <w:tcMar>
              <w:top w:w="0" w:type="dxa"/>
              <w:left w:w="108" w:type="dxa"/>
              <w:bottom w:w="0" w:type="dxa"/>
              <w:right w:w="108" w:type="dxa"/>
            </w:tcMar>
          </w:tcPr>
          <w:p w14:paraId="09C080BA">
            <w:pPr>
              <w:rPr>
                <w:rFonts w:ascii="宋体" w:hAnsi="宋体" w:eastAsia="宋体"/>
                <w:sz w:val="22"/>
                <w:szCs w:val="22"/>
              </w:rPr>
            </w:pPr>
          </w:p>
        </w:tc>
        <w:tc>
          <w:tcPr>
            <w:tcW w:w="1213" w:type="dxa"/>
            <w:noWrap/>
            <w:tcMar>
              <w:top w:w="0" w:type="dxa"/>
              <w:left w:w="108" w:type="dxa"/>
              <w:bottom w:w="0" w:type="dxa"/>
              <w:right w:w="108" w:type="dxa"/>
            </w:tcMar>
          </w:tcPr>
          <w:p w14:paraId="39170B7B">
            <w:pPr>
              <w:rPr>
                <w:rFonts w:ascii="宋体" w:hAnsi="宋体" w:eastAsia="宋体"/>
                <w:sz w:val="22"/>
                <w:szCs w:val="22"/>
              </w:rPr>
            </w:pPr>
          </w:p>
        </w:tc>
        <w:tc>
          <w:tcPr>
            <w:tcW w:w="2125" w:type="dxa"/>
            <w:noWrap/>
            <w:tcMar>
              <w:top w:w="0" w:type="dxa"/>
              <w:left w:w="108" w:type="dxa"/>
              <w:bottom w:w="0" w:type="dxa"/>
              <w:right w:w="108" w:type="dxa"/>
            </w:tcMar>
          </w:tcPr>
          <w:p w14:paraId="00C2BC3A">
            <w:pPr>
              <w:rPr>
                <w:rFonts w:ascii="宋体" w:hAnsi="宋体" w:eastAsia="宋体"/>
                <w:sz w:val="22"/>
                <w:szCs w:val="22"/>
              </w:rPr>
            </w:pPr>
          </w:p>
        </w:tc>
      </w:tr>
      <w:tr w14:paraId="6BD33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51" w:type="dxa"/>
            <w:vMerge w:val="continue"/>
            <w:vAlign w:val="center"/>
          </w:tcPr>
          <w:p w14:paraId="222E9657">
            <w:pPr>
              <w:widowControl/>
              <w:jc w:val="left"/>
              <w:rPr>
                <w:rFonts w:ascii="宋体" w:hAnsi="宋体" w:eastAsia="宋体"/>
                <w:sz w:val="22"/>
                <w:szCs w:val="22"/>
              </w:rPr>
            </w:pPr>
          </w:p>
        </w:tc>
        <w:tc>
          <w:tcPr>
            <w:tcW w:w="1276" w:type="dxa"/>
            <w:noWrap/>
            <w:tcMar>
              <w:top w:w="0" w:type="dxa"/>
              <w:left w:w="108" w:type="dxa"/>
              <w:bottom w:w="0" w:type="dxa"/>
              <w:right w:w="108" w:type="dxa"/>
            </w:tcMar>
            <w:vAlign w:val="center"/>
          </w:tcPr>
          <w:p w14:paraId="704A565A">
            <w:pPr>
              <w:rPr>
                <w:rFonts w:ascii="宋体" w:hAnsi="宋体" w:eastAsia="宋体"/>
                <w:sz w:val="22"/>
                <w:szCs w:val="22"/>
              </w:rPr>
            </w:pPr>
            <w:r>
              <w:rPr>
                <w:rFonts w:hint="eastAsia" w:ascii="宋体" w:hAnsi="宋体" w:eastAsia="宋体"/>
                <w:sz w:val="22"/>
                <w:szCs w:val="22"/>
              </w:rPr>
              <w:t>表层剥离强度</w:t>
            </w:r>
          </w:p>
        </w:tc>
        <w:tc>
          <w:tcPr>
            <w:tcW w:w="2821" w:type="dxa"/>
            <w:noWrap/>
            <w:tcMar>
              <w:top w:w="0" w:type="dxa"/>
              <w:left w:w="108" w:type="dxa"/>
              <w:bottom w:w="0" w:type="dxa"/>
              <w:right w:w="108" w:type="dxa"/>
            </w:tcMar>
          </w:tcPr>
          <w:p w14:paraId="6EDFB739">
            <w:pPr>
              <w:rPr>
                <w:rFonts w:ascii="宋体" w:hAnsi="宋体" w:eastAsia="宋体"/>
                <w:sz w:val="22"/>
                <w:szCs w:val="22"/>
              </w:rPr>
            </w:pPr>
            <w:r>
              <w:rPr>
                <w:rFonts w:hint="eastAsia" w:ascii="宋体" w:hAnsi="宋体" w:eastAsia="宋体"/>
                <w:sz w:val="22"/>
                <w:szCs w:val="22"/>
              </w:rPr>
              <w:t>≥6N/cm</w:t>
            </w:r>
          </w:p>
        </w:tc>
        <w:tc>
          <w:tcPr>
            <w:tcW w:w="1225" w:type="dxa"/>
            <w:noWrap/>
            <w:tcMar>
              <w:top w:w="0" w:type="dxa"/>
              <w:left w:w="108" w:type="dxa"/>
              <w:bottom w:w="0" w:type="dxa"/>
              <w:right w:w="108" w:type="dxa"/>
            </w:tcMar>
          </w:tcPr>
          <w:p w14:paraId="178501B7">
            <w:pPr>
              <w:rPr>
                <w:rFonts w:ascii="宋体" w:hAnsi="宋体" w:eastAsia="宋体"/>
                <w:sz w:val="22"/>
                <w:szCs w:val="22"/>
              </w:rPr>
            </w:pPr>
          </w:p>
        </w:tc>
        <w:tc>
          <w:tcPr>
            <w:tcW w:w="1213" w:type="dxa"/>
            <w:noWrap/>
            <w:tcMar>
              <w:top w:w="0" w:type="dxa"/>
              <w:left w:w="108" w:type="dxa"/>
              <w:bottom w:w="0" w:type="dxa"/>
              <w:right w:w="108" w:type="dxa"/>
            </w:tcMar>
          </w:tcPr>
          <w:p w14:paraId="649F94A2">
            <w:pPr>
              <w:rPr>
                <w:rFonts w:ascii="宋体" w:hAnsi="宋体" w:eastAsia="宋体"/>
                <w:sz w:val="22"/>
                <w:szCs w:val="22"/>
              </w:rPr>
            </w:pPr>
          </w:p>
        </w:tc>
        <w:tc>
          <w:tcPr>
            <w:tcW w:w="2125" w:type="dxa"/>
            <w:noWrap/>
            <w:tcMar>
              <w:top w:w="0" w:type="dxa"/>
              <w:left w:w="108" w:type="dxa"/>
              <w:bottom w:w="0" w:type="dxa"/>
              <w:right w:w="108" w:type="dxa"/>
            </w:tcMar>
          </w:tcPr>
          <w:p w14:paraId="44F09376">
            <w:pPr>
              <w:rPr>
                <w:rFonts w:ascii="宋体" w:hAnsi="宋体" w:eastAsia="宋体"/>
                <w:sz w:val="22"/>
                <w:szCs w:val="22"/>
              </w:rPr>
            </w:pPr>
          </w:p>
        </w:tc>
      </w:tr>
      <w:tr w14:paraId="31C27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51" w:type="dxa"/>
            <w:vMerge w:val="continue"/>
            <w:vAlign w:val="center"/>
          </w:tcPr>
          <w:p w14:paraId="39043FB0">
            <w:pPr>
              <w:widowControl/>
              <w:jc w:val="left"/>
              <w:rPr>
                <w:rFonts w:ascii="宋体" w:hAnsi="宋体" w:eastAsia="宋体"/>
                <w:sz w:val="22"/>
                <w:szCs w:val="22"/>
              </w:rPr>
            </w:pPr>
          </w:p>
        </w:tc>
        <w:tc>
          <w:tcPr>
            <w:tcW w:w="1276" w:type="dxa"/>
            <w:noWrap/>
            <w:tcMar>
              <w:top w:w="0" w:type="dxa"/>
              <w:left w:w="108" w:type="dxa"/>
              <w:bottom w:w="0" w:type="dxa"/>
              <w:right w:w="108" w:type="dxa"/>
            </w:tcMar>
            <w:vAlign w:val="center"/>
          </w:tcPr>
          <w:p w14:paraId="730C1475">
            <w:pPr>
              <w:rPr>
                <w:rFonts w:ascii="宋体" w:hAnsi="宋体" w:eastAsia="宋体"/>
                <w:sz w:val="22"/>
                <w:szCs w:val="22"/>
              </w:rPr>
            </w:pPr>
            <w:r>
              <w:rPr>
                <w:rFonts w:hint="eastAsia" w:ascii="宋体" w:hAnsi="宋体" w:eastAsia="宋体"/>
                <w:sz w:val="22"/>
                <w:szCs w:val="22"/>
              </w:rPr>
              <w:t>温、湿度条件下的卡尺寸稳定性和翘曲</w:t>
            </w:r>
          </w:p>
        </w:tc>
        <w:tc>
          <w:tcPr>
            <w:tcW w:w="2821" w:type="dxa"/>
            <w:noWrap/>
            <w:tcMar>
              <w:top w:w="0" w:type="dxa"/>
              <w:left w:w="108" w:type="dxa"/>
              <w:bottom w:w="0" w:type="dxa"/>
              <w:right w:w="108" w:type="dxa"/>
            </w:tcMar>
          </w:tcPr>
          <w:p w14:paraId="3179BE52">
            <w:pPr>
              <w:rPr>
                <w:rFonts w:ascii="宋体" w:hAnsi="宋体" w:eastAsia="宋体"/>
                <w:sz w:val="22"/>
                <w:szCs w:val="22"/>
              </w:rPr>
            </w:pPr>
            <w:r>
              <w:rPr>
                <w:rFonts w:hint="eastAsia" w:ascii="宋体" w:hAnsi="宋体" w:eastAsia="宋体"/>
                <w:sz w:val="22"/>
                <w:szCs w:val="22"/>
              </w:rPr>
              <w:t>将卡依次置于下列环境下各60分钟（a）-35°C±3°C；（b）50°C±3°C，相对湿度95%±5%将卡取出，放在实验室环境条件下保持24小时，再测卡片尺寸及卡片翘曲，要求卡片尺寸值和最大翘曲值的测量的结果应与原测量值一致</w:t>
            </w:r>
          </w:p>
        </w:tc>
        <w:tc>
          <w:tcPr>
            <w:tcW w:w="1225" w:type="dxa"/>
            <w:noWrap/>
            <w:tcMar>
              <w:top w:w="0" w:type="dxa"/>
              <w:left w:w="108" w:type="dxa"/>
              <w:bottom w:w="0" w:type="dxa"/>
              <w:right w:w="108" w:type="dxa"/>
            </w:tcMar>
          </w:tcPr>
          <w:p w14:paraId="26872655">
            <w:pPr>
              <w:rPr>
                <w:rFonts w:ascii="宋体" w:hAnsi="宋体" w:eastAsia="宋体"/>
                <w:sz w:val="22"/>
                <w:szCs w:val="22"/>
              </w:rPr>
            </w:pPr>
          </w:p>
        </w:tc>
        <w:tc>
          <w:tcPr>
            <w:tcW w:w="1213" w:type="dxa"/>
            <w:noWrap/>
            <w:tcMar>
              <w:top w:w="0" w:type="dxa"/>
              <w:left w:w="108" w:type="dxa"/>
              <w:bottom w:w="0" w:type="dxa"/>
              <w:right w:w="108" w:type="dxa"/>
            </w:tcMar>
          </w:tcPr>
          <w:p w14:paraId="29D65CDA">
            <w:pPr>
              <w:rPr>
                <w:rFonts w:ascii="宋体" w:hAnsi="宋体" w:eastAsia="宋体"/>
                <w:sz w:val="22"/>
                <w:szCs w:val="22"/>
              </w:rPr>
            </w:pPr>
          </w:p>
        </w:tc>
        <w:tc>
          <w:tcPr>
            <w:tcW w:w="2125" w:type="dxa"/>
            <w:noWrap/>
            <w:tcMar>
              <w:top w:w="0" w:type="dxa"/>
              <w:left w:w="108" w:type="dxa"/>
              <w:bottom w:w="0" w:type="dxa"/>
              <w:right w:w="108" w:type="dxa"/>
            </w:tcMar>
          </w:tcPr>
          <w:p w14:paraId="20D7CA1C">
            <w:pPr>
              <w:rPr>
                <w:rFonts w:ascii="宋体" w:hAnsi="宋体" w:eastAsia="宋体"/>
                <w:sz w:val="22"/>
                <w:szCs w:val="22"/>
              </w:rPr>
            </w:pPr>
          </w:p>
        </w:tc>
      </w:tr>
      <w:tr w14:paraId="16BEA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51" w:type="dxa"/>
            <w:vMerge w:val="continue"/>
            <w:vAlign w:val="center"/>
          </w:tcPr>
          <w:p w14:paraId="79EC0AD2">
            <w:pPr>
              <w:widowControl/>
              <w:jc w:val="left"/>
              <w:rPr>
                <w:rFonts w:ascii="宋体" w:hAnsi="宋体" w:eastAsia="宋体"/>
                <w:sz w:val="22"/>
                <w:szCs w:val="22"/>
              </w:rPr>
            </w:pPr>
          </w:p>
        </w:tc>
        <w:tc>
          <w:tcPr>
            <w:tcW w:w="1276" w:type="dxa"/>
            <w:noWrap/>
            <w:tcMar>
              <w:top w:w="0" w:type="dxa"/>
              <w:left w:w="108" w:type="dxa"/>
              <w:bottom w:w="0" w:type="dxa"/>
              <w:right w:w="108" w:type="dxa"/>
            </w:tcMar>
            <w:vAlign w:val="center"/>
          </w:tcPr>
          <w:p w14:paraId="6F680DE7">
            <w:pPr>
              <w:rPr>
                <w:rFonts w:ascii="宋体" w:hAnsi="宋体" w:eastAsia="宋体"/>
                <w:sz w:val="22"/>
                <w:szCs w:val="22"/>
              </w:rPr>
            </w:pPr>
            <w:r>
              <w:rPr>
                <w:rFonts w:hint="eastAsia" w:ascii="宋体" w:hAnsi="宋体" w:eastAsia="宋体"/>
                <w:sz w:val="22"/>
                <w:szCs w:val="22"/>
              </w:rPr>
              <w:t>粘结性能</w:t>
            </w:r>
          </w:p>
        </w:tc>
        <w:tc>
          <w:tcPr>
            <w:tcW w:w="2821" w:type="dxa"/>
            <w:noWrap/>
            <w:tcMar>
              <w:top w:w="0" w:type="dxa"/>
              <w:left w:w="108" w:type="dxa"/>
              <w:bottom w:w="0" w:type="dxa"/>
              <w:right w:w="108" w:type="dxa"/>
            </w:tcMar>
          </w:tcPr>
          <w:p w14:paraId="05EA3B40">
            <w:pPr>
              <w:rPr>
                <w:rFonts w:ascii="宋体" w:hAnsi="宋体" w:eastAsia="宋体"/>
                <w:sz w:val="22"/>
                <w:szCs w:val="22"/>
              </w:rPr>
            </w:pPr>
            <w:r>
              <w:rPr>
                <w:rFonts w:hint="eastAsia" w:ascii="宋体" w:hAnsi="宋体" w:eastAsia="宋体"/>
                <w:sz w:val="22"/>
                <w:szCs w:val="22"/>
              </w:rPr>
              <w:t>将未打过凸字的卡5个一组叠在一起放入40℃±3℃，相对湿度设定为40%-60%的箱内，使卡背面朝下，其上加以2.5Kpa的均匀压力。48小时之后取 出，可以用手很容易地将单张卡分开。将卡拿到实验室环境温度下立刻观察，应无下列变化：脱层，变色或色转移，表面磨光变化，卡上没有物质转移现象，外观形 变</w:t>
            </w:r>
          </w:p>
        </w:tc>
        <w:tc>
          <w:tcPr>
            <w:tcW w:w="1225" w:type="dxa"/>
            <w:noWrap/>
            <w:tcMar>
              <w:top w:w="0" w:type="dxa"/>
              <w:left w:w="108" w:type="dxa"/>
              <w:bottom w:w="0" w:type="dxa"/>
              <w:right w:w="108" w:type="dxa"/>
            </w:tcMar>
          </w:tcPr>
          <w:p w14:paraId="05EFC21F">
            <w:pPr>
              <w:rPr>
                <w:rFonts w:ascii="宋体" w:hAnsi="宋体" w:eastAsia="宋体"/>
                <w:sz w:val="22"/>
                <w:szCs w:val="22"/>
              </w:rPr>
            </w:pPr>
          </w:p>
        </w:tc>
        <w:tc>
          <w:tcPr>
            <w:tcW w:w="1213" w:type="dxa"/>
            <w:noWrap/>
            <w:tcMar>
              <w:top w:w="0" w:type="dxa"/>
              <w:left w:w="108" w:type="dxa"/>
              <w:bottom w:w="0" w:type="dxa"/>
              <w:right w:w="108" w:type="dxa"/>
            </w:tcMar>
          </w:tcPr>
          <w:p w14:paraId="59F6D7C2">
            <w:pPr>
              <w:rPr>
                <w:rFonts w:ascii="宋体" w:hAnsi="宋体" w:eastAsia="宋体"/>
                <w:sz w:val="22"/>
                <w:szCs w:val="22"/>
              </w:rPr>
            </w:pPr>
          </w:p>
        </w:tc>
        <w:tc>
          <w:tcPr>
            <w:tcW w:w="2125" w:type="dxa"/>
            <w:noWrap/>
            <w:tcMar>
              <w:top w:w="0" w:type="dxa"/>
              <w:left w:w="108" w:type="dxa"/>
              <w:bottom w:w="0" w:type="dxa"/>
              <w:right w:w="108" w:type="dxa"/>
            </w:tcMar>
          </w:tcPr>
          <w:p w14:paraId="32D3B0C0">
            <w:pPr>
              <w:rPr>
                <w:rFonts w:ascii="宋体" w:hAnsi="宋体" w:eastAsia="宋体"/>
                <w:sz w:val="22"/>
                <w:szCs w:val="22"/>
              </w:rPr>
            </w:pPr>
          </w:p>
        </w:tc>
      </w:tr>
      <w:tr w14:paraId="0311A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51" w:type="dxa"/>
            <w:vMerge w:val="continue"/>
            <w:vAlign w:val="center"/>
          </w:tcPr>
          <w:p w14:paraId="7AA642F1">
            <w:pPr>
              <w:widowControl/>
              <w:jc w:val="left"/>
              <w:rPr>
                <w:rFonts w:ascii="宋体" w:hAnsi="宋体" w:eastAsia="宋体"/>
                <w:sz w:val="22"/>
                <w:szCs w:val="22"/>
              </w:rPr>
            </w:pPr>
          </w:p>
        </w:tc>
        <w:tc>
          <w:tcPr>
            <w:tcW w:w="1276" w:type="dxa"/>
            <w:noWrap/>
            <w:tcMar>
              <w:top w:w="0" w:type="dxa"/>
              <w:left w:w="108" w:type="dxa"/>
              <w:bottom w:w="0" w:type="dxa"/>
              <w:right w:w="108" w:type="dxa"/>
            </w:tcMar>
            <w:vAlign w:val="center"/>
          </w:tcPr>
          <w:p w14:paraId="5762FEE0">
            <w:pPr>
              <w:rPr>
                <w:rFonts w:ascii="宋体" w:hAnsi="宋体" w:eastAsia="宋体"/>
                <w:sz w:val="22"/>
                <w:szCs w:val="22"/>
              </w:rPr>
            </w:pPr>
            <w:r>
              <w:rPr>
                <w:rFonts w:hint="eastAsia" w:ascii="宋体" w:hAnsi="宋体" w:eastAsia="宋体"/>
                <w:sz w:val="22"/>
                <w:szCs w:val="22"/>
              </w:rPr>
              <w:t>弯曲性质</w:t>
            </w:r>
          </w:p>
        </w:tc>
        <w:tc>
          <w:tcPr>
            <w:tcW w:w="2821" w:type="dxa"/>
            <w:noWrap/>
            <w:tcMar>
              <w:top w:w="0" w:type="dxa"/>
              <w:left w:w="108" w:type="dxa"/>
              <w:bottom w:w="0" w:type="dxa"/>
              <w:right w:w="108" w:type="dxa"/>
            </w:tcMar>
          </w:tcPr>
          <w:p w14:paraId="0BD8C3CD">
            <w:pPr>
              <w:rPr>
                <w:rFonts w:ascii="宋体" w:hAnsi="宋体" w:eastAsia="宋体"/>
                <w:sz w:val="22"/>
                <w:szCs w:val="22"/>
              </w:rPr>
            </w:pPr>
            <w:r>
              <w:rPr>
                <w:rFonts w:hint="eastAsia" w:ascii="宋体" w:hAnsi="宋体" w:eastAsia="宋体"/>
                <w:sz w:val="22"/>
                <w:szCs w:val="22"/>
              </w:rPr>
              <w:t>裁制完成之卡必须平直，其曲度、垂直间隙必须在1.27MM以下；</w:t>
            </w:r>
          </w:p>
          <w:p w14:paraId="15DC3C95">
            <w:pPr>
              <w:rPr>
                <w:rFonts w:ascii="宋体" w:hAnsi="宋体" w:eastAsia="宋体"/>
                <w:sz w:val="22"/>
                <w:szCs w:val="22"/>
              </w:rPr>
            </w:pPr>
            <w:r>
              <w:rPr>
                <w:rFonts w:hint="eastAsia" w:ascii="宋体" w:hAnsi="宋体" w:eastAsia="宋体"/>
                <w:sz w:val="22"/>
                <w:szCs w:val="22"/>
              </w:rPr>
              <w:t>凸字后其曲度垂直间隙必须在2.03MM以下，叠合层不得剥离或脱落</w:t>
            </w:r>
          </w:p>
        </w:tc>
        <w:tc>
          <w:tcPr>
            <w:tcW w:w="1225" w:type="dxa"/>
            <w:noWrap/>
            <w:tcMar>
              <w:top w:w="0" w:type="dxa"/>
              <w:left w:w="108" w:type="dxa"/>
              <w:bottom w:w="0" w:type="dxa"/>
              <w:right w:w="108" w:type="dxa"/>
            </w:tcMar>
          </w:tcPr>
          <w:p w14:paraId="3D0CE0F1">
            <w:pPr>
              <w:rPr>
                <w:rFonts w:ascii="宋体" w:hAnsi="宋体" w:eastAsia="宋体"/>
                <w:sz w:val="22"/>
                <w:szCs w:val="22"/>
              </w:rPr>
            </w:pPr>
          </w:p>
        </w:tc>
        <w:tc>
          <w:tcPr>
            <w:tcW w:w="1213" w:type="dxa"/>
            <w:noWrap/>
            <w:tcMar>
              <w:top w:w="0" w:type="dxa"/>
              <w:left w:w="108" w:type="dxa"/>
              <w:bottom w:w="0" w:type="dxa"/>
              <w:right w:w="108" w:type="dxa"/>
            </w:tcMar>
          </w:tcPr>
          <w:p w14:paraId="321E5BF6">
            <w:pPr>
              <w:rPr>
                <w:rFonts w:ascii="宋体" w:hAnsi="宋体" w:eastAsia="宋体"/>
                <w:sz w:val="22"/>
                <w:szCs w:val="22"/>
              </w:rPr>
            </w:pPr>
          </w:p>
        </w:tc>
        <w:tc>
          <w:tcPr>
            <w:tcW w:w="2125" w:type="dxa"/>
            <w:noWrap/>
            <w:tcMar>
              <w:top w:w="0" w:type="dxa"/>
              <w:left w:w="108" w:type="dxa"/>
              <w:bottom w:w="0" w:type="dxa"/>
              <w:right w:w="108" w:type="dxa"/>
            </w:tcMar>
          </w:tcPr>
          <w:p w14:paraId="7A24DEA1">
            <w:pPr>
              <w:rPr>
                <w:rFonts w:ascii="宋体" w:hAnsi="宋体" w:eastAsia="宋体"/>
                <w:sz w:val="22"/>
                <w:szCs w:val="22"/>
              </w:rPr>
            </w:pPr>
          </w:p>
        </w:tc>
      </w:tr>
      <w:tr w14:paraId="1DF19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851" w:type="dxa"/>
            <w:vMerge w:val="continue"/>
            <w:vAlign w:val="center"/>
          </w:tcPr>
          <w:p w14:paraId="048F39B9">
            <w:pPr>
              <w:widowControl/>
              <w:jc w:val="left"/>
              <w:rPr>
                <w:rFonts w:ascii="宋体" w:hAnsi="宋体" w:eastAsia="宋体"/>
                <w:sz w:val="22"/>
                <w:szCs w:val="22"/>
              </w:rPr>
            </w:pPr>
          </w:p>
        </w:tc>
        <w:tc>
          <w:tcPr>
            <w:tcW w:w="1276" w:type="dxa"/>
            <w:noWrap/>
            <w:tcMar>
              <w:top w:w="0" w:type="dxa"/>
              <w:left w:w="108" w:type="dxa"/>
              <w:bottom w:w="0" w:type="dxa"/>
              <w:right w:w="108" w:type="dxa"/>
            </w:tcMar>
            <w:vAlign w:val="center"/>
          </w:tcPr>
          <w:p w14:paraId="05A62CED">
            <w:pPr>
              <w:rPr>
                <w:rFonts w:ascii="宋体" w:hAnsi="宋体" w:eastAsia="宋体"/>
                <w:sz w:val="22"/>
                <w:szCs w:val="22"/>
              </w:rPr>
            </w:pPr>
            <w:r>
              <w:rPr>
                <w:rFonts w:hint="eastAsia" w:ascii="宋体" w:hAnsi="宋体" w:eastAsia="宋体"/>
                <w:sz w:val="22"/>
                <w:szCs w:val="22"/>
              </w:rPr>
              <w:t>扭曲性质</w:t>
            </w:r>
          </w:p>
        </w:tc>
        <w:tc>
          <w:tcPr>
            <w:tcW w:w="2821" w:type="dxa"/>
            <w:noWrap/>
            <w:tcMar>
              <w:top w:w="0" w:type="dxa"/>
              <w:left w:w="108" w:type="dxa"/>
              <w:bottom w:w="0" w:type="dxa"/>
              <w:right w:w="108" w:type="dxa"/>
            </w:tcMar>
          </w:tcPr>
          <w:p w14:paraId="531634D9">
            <w:pPr>
              <w:rPr>
                <w:rFonts w:ascii="宋体" w:hAnsi="宋体" w:eastAsia="宋体"/>
                <w:sz w:val="22"/>
                <w:szCs w:val="22"/>
              </w:rPr>
            </w:pPr>
            <w:r>
              <w:rPr>
                <w:rFonts w:hint="eastAsia" w:ascii="宋体" w:hAnsi="宋体" w:eastAsia="宋体"/>
                <w:sz w:val="22"/>
                <w:szCs w:val="22"/>
              </w:rPr>
              <w:t>进行GB/T17554.1中描述的1000次扭曲循环测试后，卡应保持其功能并应不出现开裂</w:t>
            </w:r>
          </w:p>
        </w:tc>
        <w:tc>
          <w:tcPr>
            <w:tcW w:w="1225" w:type="dxa"/>
            <w:noWrap/>
            <w:tcMar>
              <w:top w:w="0" w:type="dxa"/>
              <w:left w:w="108" w:type="dxa"/>
              <w:bottom w:w="0" w:type="dxa"/>
              <w:right w:w="108" w:type="dxa"/>
            </w:tcMar>
          </w:tcPr>
          <w:p w14:paraId="15F63DE1">
            <w:pPr>
              <w:rPr>
                <w:rFonts w:ascii="宋体" w:hAnsi="宋体" w:eastAsia="宋体"/>
                <w:sz w:val="22"/>
                <w:szCs w:val="22"/>
              </w:rPr>
            </w:pPr>
          </w:p>
        </w:tc>
        <w:tc>
          <w:tcPr>
            <w:tcW w:w="1213" w:type="dxa"/>
            <w:noWrap/>
            <w:tcMar>
              <w:top w:w="0" w:type="dxa"/>
              <w:left w:w="108" w:type="dxa"/>
              <w:bottom w:w="0" w:type="dxa"/>
              <w:right w:w="108" w:type="dxa"/>
            </w:tcMar>
          </w:tcPr>
          <w:p w14:paraId="22B09A6F">
            <w:pPr>
              <w:rPr>
                <w:rFonts w:ascii="宋体" w:hAnsi="宋体" w:eastAsia="宋体"/>
                <w:sz w:val="22"/>
                <w:szCs w:val="22"/>
              </w:rPr>
            </w:pPr>
          </w:p>
        </w:tc>
        <w:tc>
          <w:tcPr>
            <w:tcW w:w="2125" w:type="dxa"/>
            <w:noWrap/>
            <w:tcMar>
              <w:top w:w="0" w:type="dxa"/>
              <w:left w:w="108" w:type="dxa"/>
              <w:bottom w:w="0" w:type="dxa"/>
              <w:right w:w="108" w:type="dxa"/>
            </w:tcMar>
          </w:tcPr>
          <w:p w14:paraId="31904407">
            <w:pPr>
              <w:rPr>
                <w:rFonts w:ascii="宋体" w:hAnsi="宋体" w:eastAsia="宋体"/>
                <w:sz w:val="22"/>
                <w:szCs w:val="22"/>
              </w:rPr>
            </w:pPr>
          </w:p>
        </w:tc>
      </w:tr>
      <w:tr w14:paraId="25AB7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851" w:type="dxa"/>
            <w:vMerge w:val="continue"/>
            <w:vAlign w:val="center"/>
          </w:tcPr>
          <w:p w14:paraId="58C2DBFB">
            <w:pPr>
              <w:widowControl/>
              <w:jc w:val="left"/>
              <w:rPr>
                <w:rFonts w:ascii="宋体" w:hAnsi="宋体" w:eastAsia="宋体"/>
                <w:sz w:val="22"/>
                <w:szCs w:val="22"/>
              </w:rPr>
            </w:pPr>
          </w:p>
        </w:tc>
        <w:tc>
          <w:tcPr>
            <w:tcW w:w="1276" w:type="dxa"/>
            <w:noWrap/>
            <w:tcMar>
              <w:top w:w="0" w:type="dxa"/>
              <w:left w:w="108" w:type="dxa"/>
              <w:bottom w:w="0" w:type="dxa"/>
              <w:right w:w="108" w:type="dxa"/>
            </w:tcMar>
            <w:vAlign w:val="center"/>
          </w:tcPr>
          <w:p w14:paraId="467E1981">
            <w:pPr>
              <w:rPr>
                <w:rFonts w:ascii="宋体" w:hAnsi="宋体" w:eastAsia="宋体"/>
                <w:sz w:val="22"/>
                <w:szCs w:val="22"/>
              </w:rPr>
            </w:pPr>
            <w:r>
              <w:rPr>
                <w:rFonts w:hint="eastAsia" w:ascii="宋体" w:hAnsi="宋体" w:eastAsia="宋体"/>
                <w:sz w:val="22"/>
                <w:szCs w:val="22"/>
              </w:rPr>
              <w:t>卡片抗化学侵蚀性能</w:t>
            </w:r>
          </w:p>
        </w:tc>
        <w:tc>
          <w:tcPr>
            <w:tcW w:w="2821" w:type="dxa"/>
            <w:noWrap/>
            <w:tcMar>
              <w:top w:w="0" w:type="dxa"/>
              <w:left w:w="108" w:type="dxa"/>
              <w:bottom w:w="0" w:type="dxa"/>
              <w:right w:w="108" w:type="dxa"/>
            </w:tcMar>
          </w:tcPr>
          <w:p w14:paraId="6EA54439">
            <w:pPr>
              <w:rPr>
                <w:rFonts w:ascii="宋体" w:hAnsi="宋体" w:eastAsia="宋体"/>
                <w:sz w:val="22"/>
                <w:szCs w:val="22"/>
              </w:rPr>
            </w:pPr>
            <w:r>
              <w:rPr>
                <w:rFonts w:hint="eastAsia" w:ascii="宋体" w:hAnsi="宋体" w:eastAsia="宋体"/>
                <w:sz w:val="22"/>
                <w:szCs w:val="22"/>
              </w:rPr>
              <w:t>卡片在耐盐水检测、耐醋酸检测、耐碳酸钠检测、耐乙醇检测、耐糖水检测、耐乙二醇检测均在一分钟以上，耐人工汗碱检测、耐人工汗酸检测均在24小时以上后用蒸馏水冲洗，待干后进行读写测试。均无新错误出现，仍可正常使用。</w:t>
            </w:r>
          </w:p>
        </w:tc>
        <w:tc>
          <w:tcPr>
            <w:tcW w:w="1225" w:type="dxa"/>
            <w:noWrap/>
            <w:tcMar>
              <w:top w:w="0" w:type="dxa"/>
              <w:left w:w="108" w:type="dxa"/>
              <w:bottom w:w="0" w:type="dxa"/>
              <w:right w:w="108" w:type="dxa"/>
            </w:tcMar>
          </w:tcPr>
          <w:p w14:paraId="55374128">
            <w:pPr>
              <w:rPr>
                <w:rFonts w:ascii="宋体" w:hAnsi="宋体" w:eastAsia="宋体"/>
                <w:sz w:val="22"/>
                <w:szCs w:val="22"/>
              </w:rPr>
            </w:pPr>
          </w:p>
        </w:tc>
        <w:tc>
          <w:tcPr>
            <w:tcW w:w="1213" w:type="dxa"/>
            <w:noWrap/>
            <w:tcMar>
              <w:top w:w="0" w:type="dxa"/>
              <w:left w:w="108" w:type="dxa"/>
              <w:bottom w:w="0" w:type="dxa"/>
              <w:right w:w="108" w:type="dxa"/>
            </w:tcMar>
          </w:tcPr>
          <w:p w14:paraId="43CB7E83">
            <w:pPr>
              <w:rPr>
                <w:rFonts w:ascii="宋体" w:hAnsi="宋体" w:eastAsia="宋体"/>
                <w:sz w:val="22"/>
                <w:szCs w:val="22"/>
              </w:rPr>
            </w:pPr>
          </w:p>
        </w:tc>
        <w:tc>
          <w:tcPr>
            <w:tcW w:w="2125" w:type="dxa"/>
            <w:noWrap/>
            <w:tcMar>
              <w:top w:w="0" w:type="dxa"/>
              <w:left w:w="108" w:type="dxa"/>
              <w:bottom w:w="0" w:type="dxa"/>
              <w:right w:w="108" w:type="dxa"/>
            </w:tcMar>
          </w:tcPr>
          <w:p w14:paraId="1F608055">
            <w:pPr>
              <w:rPr>
                <w:rFonts w:ascii="宋体" w:hAnsi="宋体" w:eastAsia="宋体"/>
                <w:sz w:val="22"/>
                <w:szCs w:val="22"/>
              </w:rPr>
            </w:pPr>
          </w:p>
        </w:tc>
      </w:tr>
      <w:tr w14:paraId="4636A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51" w:type="dxa"/>
            <w:noWrap/>
            <w:tcMar>
              <w:top w:w="0" w:type="dxa"/>
              <w:left w:w="108" w:type="dxa"/>
              <w:bottom w:w="0" w:type="dxa"/>
              <w:right w:w="108" w:type="dxa"/>
            </w:tcMar>
            <w:vAlign w:val="center"/>
          </w:tcPr>
          <w:p w14:paraId="40AA4E20">
            <w:pPr>
              <w:jc w:val="center"/>
              <w:rPr>
                <w:rFonts w:ascii="宋体" w:hAnsi="宋体" w:eastAsia="宋体"/>
                <w:sz w:val="22"/>
                <w:szCs w:val="22"/>
              </w:rPr>
            </w:pPr>
            <w:r>
              <w:rPr>
                <w:rFonts w:hint="eastAsia" w:ascii="宋体" w:hAnsi="宋体" w:eastAsia="宋体"/>
                <w:sz w:val="22"/>
                <w:szCs w:val="22"/>
              </w:rPr>
              <w:t>8</w:t>
            </w:r>
          </w:p>
        </w:tc>
        <w:tc>
          <w:tcPr>
            <w:tcW w:w="4097" w:type="dxa"/>
            <w:gridSpan w:val="2"/>
            <w:noWrap/>
            <w:tcMar>
              <w:top w:w="0" w:type="dxa"/>
              <w:left w:w="108" w:type="dxa"/>
              <w:bottom w:w="0" w:type="dxa"/>
              <w:right w:w="108" w:type="dxa"/>
            </w:tcMar>
            <w:vAlign w:val="center"/>
          </w:tcPr>
          <w:p w14:paraId="6083F744">
            <w:pPr>
              <w:rPr>
                <w:rFonts w:ascii="宋体" w:hAnsi="宋体" w:eastAsia="宋体"/>
                <w:sz w:val="22"/>
                <w:szCs w:val="22"/>
              </w:rPr>
            </w:pPr>
            <w:r>
              <w:rPr>
                <w:rFonts w:hint="eastAsia" w:ascii="宋体" w:hAnsi="宋体" w:eastAsia="宋体"/>
                <w:sz w:val="22"/>
                <w:szCs w:val="22"/>
              </w:rPr>
              <w:t>符合人民银行PBOC2018</w:t>
            </w:r>
            <w:del w:id="2" w:author="O" w:date="2026-06-10T10:41:09Z">
              <w:r>
                <w:rPr>
                  <w:rFonts w:hint="eastAsia" w:ascii="宋体" w:hAnsi="宋体" w:eastAsia="宋体"/>
                  <w:sz w:val="22"/>
                  <w:szCs w:val="22"/>
                </w:rPr>
                <w:delText>标准</w:delText>
              </w:r>
            </w:del>
            <w:r>
              <w:rPr>
                <w:rFonts w:hint="eastAsia" w:ascii="宋体" w:hAnsi="宋体" w:eastAsia="宋体"/>
                <w:sz w:val="22"/>
                <w:szCs w:val="22"/>
              </w:rPr>
              <w:t>标准，并获得相关认证；符合EMV标准并获得相关认证。</w:t>
            </w:r>
          </w:p>
        </w:tc>
        <w:tc>
          <w:tcPr>
            <w:tcW w:w="1225" w:type="dxa"/>
            <w:noWrap/>
            <w:tcMar>
              <w:top w:w="0" w:type="dxa"/>
              <w:left w:w="108" w:type="dxa"/>
              <w:bottom w:w="0" w:type="dxa"/>
              <w:right w:w="108" w:type="dxa"/>
            </w:tcMar>
            <w:vAlign w:val="center"/>
          </w:tcPr>
          <w:p w14:paraId="41B1DD25">
            <w:pPr>
              <w:rPr>
                <w:rFonts w:ascii="宋体" w:hAnsi="宋体" w:eastAsia="宋体"/>
                <w:sz w:val="22"/>
                <w:szCs w:val="22"/>
              </w:rPr>
            </w:pPr>
          </w:p>
        </w:tc>
        <w:tc>
          <w:tcPr>
            <w:tcW w:w="1213" w:type="dxa"/>
            <w:noWrap/>
            <w:tcMar>
              <w:top w:w="0" w:type="dxa"/>
              <w:left w:w="108" w:type="dxa"/>
              <w:bottom w:w="0" w:type="dxa"/>
              <w:right w:w="108" w:type="dxa"/>
            </w:tcMar>
            <w:vAlign w:val="center"/>
          </w:tcPr>
          <w:p w14:paraId="5F7DAE6E">
            <w:pPr>
              <w:rPr>
                <w:rFonts w:ascii="宋体" w:hAnsi="宋体" w:eastAsia="宋体"/>
                <w:sz w:val="22"/>
                <w:szCs w:val="22"/>
              </w:rPr>
            </w:pPr>
          </w:p>
        </w:tc>
        <w:tc>
          <w:tcPr>
            <w:tcW w:w="2125" w:type="dxa"/>
            <w:noWrap/>
            <w:tcMar>
              <w:top w:w="0" w:type="dxa"/>
              <w:left w:w="108" w:type="dxa"/>
              <w:bottom w:w="0" w:type="dxa"/>
              <w:right w:w="108" w:type="dxa"/>
            </w:tcMar>
            <w:vAlign w:val="center"/>
          </w:tcPr>
          <w:p w14:paraId="54631BE4">
            <w:pPr>
              <w:rPr>
                <w:rFonts w:ascii="宋体" w:hAnsi="宋体" w:eastAsia="宋体"/>
                <w:sz w:val="22"/>
                <w:szCs w:val="22"/>
              </w:rPr>
            </w:pPr>
          </w:p>
        </w:tc>
      </w:tr>
      <w:tr w14:paraId="2E3A5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51" w:type="dxa"/>
            <w:noWrap/>
            <w:tcMar>
              <w:top w:w="0" w:type="dxa"/>
              <w:left w:w="108" w:type="dxa"/>
              <w:bottom w:w="0" w:type="dxa"/>
              <w:right w:w="108" w:type="dxa"/>
            </w:tcMar>
            <w:vAlign w:val="center"/>
          </w:tcPr>
          <w:p w14:paraId="65725F2F">
            <w:pPr>
              <w:jc w:val="center"/>
              <w:rPr>
                <w:rFonts w:ascii="宋体" w:hAnsi="宋体" w:eastAsia="宋体"/>
                <w:sz w:val="22"/>
                <w:szCs w:val="22"/>
              </w:rPr>
            </w:pPr>
            <w:r>
              <w:rPr>
                <w:rFonts w:hint="eastAsia" w:ascii="宋体" w:hAnsi="宋体" w:eastAsia="宋体"/>
                <w:sz w:val="22"/>
                <w:szCs w:val="22"/>
              </w:rPr>
              <w:t>9</w:t>
            </w:r>
          </w:p>
        </w:tc>
        <w:tc>
          <w:tcPr>
            <w:tcW w:w="4097" w:type="dxa"/>
            <w:gridSpan w:val="2"/>
            <w:noWrap/>
            <w:tcMar>
              <w:top w:w="0" w:type="dxa"/>
              <w:left w:w="108" w:type="dxa"/>
              <w:bottom w:w="0" w:type="dxa"/>
              <w:right w:w="108" w:type="dxa"/>
            </w:tcMar>
            <w:vAlign w:val="center"/>
          </w:tcPr>
          <w:p w14:paraId="6FBA837C">
            <w:pPr>
              <w:rPr>
                <w:rFonts w:ascii="宋体" w:hAnsi="宋体" w:eastAsia="宋体"/>
                <w:sz w:val="22"/>
                <w:szCs w:val="22"/>
              </w:rPr>
            </w:pPr>
            <w:r>
              <w:rPr>
                <w:rFonts w:hint="eastAsia" w:ascii="宋体" w:hAnsi="宋体" w:eastAsia="宋体"/>
                <w:sz w:val="22"/>
                <w:szCs w:val="22"/>
              </w:rPr>
              <w:t>支持符合ISO/IEC7816规范接触式接口界面和ISO/IEC14443规范的非接触式接口界面</w:t>
            </w:r>
          </w:p>
        </w:tc>
        <w:tc>
          <w:tcPr>
            <w:tcW w:w="1225" w:type="dxa"/>
            <w:noWrap/>
            <w:tcMar>
              <w:top w:w="0" w:type="dxa"/>
              <w:left w:w="108" w:type="dxa"/>
              <w:bottom w:w="0" w:type="dxa"/>
              <w:right w:w="108" w:type="dxa"/>
            </w:tcMar>
            <w:vAlign w:val="center"/>
          </w:tcPr>
          <w:p w14:paraId="61531E16">
            <w:pPr>
              <w:rPr>
                <w:rFonts w:ascii="宋体" w:hAnsi="宋体" w:eastAsia="宋体"/>
                <w:sz w:val="22"/>
                <w:szCs w:val="22"/>
              </w:rPr>
            </w:pPr>
          </w:p>
        </w:tc>
        <w:tc>
          <w:tcPr>
            <w:tcW w:w="1213" w:type="dxa"/>
            <w:noWrap/>
            <w:tcMar>
              <w:top w:w="0" w:type="dxa"/>
              <w:left w:w="108" w:type="dxa"/>
              <w:bottom w:w="0" w:type="dxa"/>
              <w:right w:w="108" w:type="dxa"/>
            </w:tcMar>
            <w:vAlign w:val="center"/>
          </w:tcPr>
          <w:p w14:paraId="4CB61D84">
            <w:pPr>
              <w:rPr>
                <w:rFonts w:ascii="宋体" w:hAnsi="宋体" w:eastAsia="宋体"/>
                <w:sz w:val="22"/>
                <w:szCs w:val="22"/>
              </w:rPr>
            </w:pPr>
          </w:p>
        </w:tc>
        <w:tc>
          <w:tcPr>
            <w:tcW w:w="2125" w:type="dxa"/>
            <w:noWrap/>
            <w:tcMar>
              <w:top w:w="0" w:type="dxa"/>
              <w:left w:w="108" w:type="dxa"/>
              <w:bottom w:w="0" w:type="dxa"/>
              <w:right w:w="108" w:type="dxa"/>
            </w:tcMar>
            <w:vAlign w:val="center"/>
          </w:tcPr>
          <w:p w14:paraId="54DB1CDC">
            <w:pPr>
              <w:rPr>
                <w:rFonts w:ascii="宋体" w:hAnsi="宋体" w:eastAsia="宋体"/>
                <w:sz w:val="22"/>
                <w:szCs w:val="22"/>
              </w:rPr>
            </w:pPr>
          </w:p>
        </w:tc>
      </w:tr>
    </w:tbl>
    <w:p w14:paraId="3534DBC1">
      <w:pPr>
        <w:pStyle w:val="2"/>
        <w:rPr>
          <w:lang w:val="en-US"/>
        </w:rPr>
      </w:pPr>
    </w:p>
    <w:p w14:paraId="7AA3327E">
      <w:pPr>
        <w:spacing w:line="360" w:lineRule="auto"/>
        <w:ind w:firstLine="4800" w:firstLineChars="2000"/>
        <w:rPr>
          <w:rFonts w:ascii="宋体" w:hAnsi="宋体" w:eastAsia="宋体"/>
          <w:sz w:val="24"/>
          <w:u w:val="single"/>
        </w:rPr>
      </w:pPr>
      <w:r>
        <w:rPr>
          <w:rFonts w:hint="eastAsia" w:ascii="宋体" w:hAnsi="宋体" w:eastAsia="宋体"/>
          <w:sz w:val="24"/>
        </w:rPr>
        <w:t>投标人公章：</w:t>
      </w:r>
      <w:r>
        <w:rPr>
          <w:rFonts w:hint="eastAsia" w:ascii="宋体" w:hAnsi="宋体" w:eastAsia="宋体"/>
          <w:sz w:val="24"/>
          <w:u w:val="single"/>
        </w:rPr>
        <w:t xml:space="preserve">             </w:t>
      </w:r>
    </w:p>
    <w:p w14:paraId="61D4FB44">
      <w:pPr>
        <w:spacing w:line="360" w:lineRule="auto"/>
        <w:ind w:firstLine="4800" w:firstLineChars="2000"/>
        <w:rPr>
          <w:rFonts w:ascii="宋体" w:hAnsi="宋体" w:eastAsia="宋体"/>
          <w:sz w:val="24"/>
          <w:u w:val="single"/>
        </w:rPr>
      </w:pPr>
      <w:r>
        <w:rPr>
          <w:rFonts w:hint="eastAsia" w:ascii="宋体" w:hAnsi="宋体" w:eastAsia="宋体"/>
          <w:sz w:val="24"/>
        </w:rPr>
        <w:t>日      期：</w:t>
      </w:r>
      <w:r>
        <w:rPr>
          <w:rFonts w:hint="eastAsia" w:ascii="宋体" w:hAnsi="宋体" w:eastAsia="宋体"/>
          <w:sz w:val="24"/>
          <w:u w:val="single"/>
        </w:rPr>
        <w:t xml:space="preserve">             </w:t>
      </w:r>
    </w:p>
    <w:p w14:paraId="42B852B8">
      <w:pPr>
        <w:pStyle w:val="12"/>
        <w:spacing w:line="360" w:lineRule="auto"/>
        <w:rPr>
          <w:rFonts w:asciiTheme="minorEastAsia" w:hAnsiTheme="minorEastAsia" w:eastAsiaTheme="minorEastAsia"/>
          <w:b w:val="0"/>
          <w:sz w:val="24"/>
        </w:rPr>
      </w:pPr>
      <w:r>
        <w:rPr>
          <w:rFonts w:asciiTheme="minorEastAsia" w:hAnsiTheme="minorEastAsia" w:eastAsiaTheme="minorEastAsia"/>
          <w:b w:val="0"/>
          <w:sz w:val="24"/>
        </w:rPr>
        <w:br w:type="page"/>
      </w:r>
    </w:p>
    <w:p w14:paraId="344A2FB7">
      <w:pPr>
        <w:spacing w:line="360" w:lineRule="auto"/>
        <w:jc w:val="center"/>
        <w:outlineLvl w:val="1"/>
        <w:rPr>
          <w:rFonts w:asciiTheme="minorEastAsia" w:hAnsiTheme="minorEastAsia" w:eastAsiaTheme="minorEastAsia"/>
          <w:b/>
          <w:sz w:val="24"/>
        </w:rPr>
      </w:pPr>
      <w:bookmarkStart w:id="67" w:name="_Toc520299348"/>
      <w:bookmarkStart w:id="68" w:name="_Toc300210382"/>
      <w:bookmarkStart w:id="69" w:name="_Toc457768004"/>
      <w:bookmarkStart w:id="70" w:name="_Toc26536"/>
      <w:bookmarkStart w:id="71" w:name="_Toc25813"/>
      <w:bookmarkStart w:id="72" w:name="_Hlk11701496"/>
      <w:r>
        <w:rPr>
          <w:rFonts w:hint="eastAsia" w:asciiTheme="minorEastAsia" w:hAnsiTheme="minorEastAsia" w:eastAsiaTheme="minorEastAsia"/>
          <w:b/>
          <w:sz w:val="24"/>
        </w:rPr>
        <w:t>七、</w:t>
      </w:r>
      <w:bookmarkEnd w:id="67"/>
      <w:bookmarkEnd w:id="68"/>
      <w:bookmarkEnd w:id="69"/>
      <w:r>
        <w:rPr>
          <w:rFonts w:hint="eastAsia" w:asciiTheme="minorEastAsia" w:hAnsiTheme="minorEastAsia" w:eastAsiaTheme="minorEastAsia"/>
          <w:b/>
          <w:sz w:val="24"/>
        </w:rPr>
        <w:t>诚信履约承诺函</w:t>
      </w:r>
      <w:bookmarkEnd w:id="70"/>
      <w:bookmarkEnd w:id="71"/>
    </w:p>
    <w:p w14:paraId="1D155547">
      <w:pPr>
        <w:spacing w:line="360" w:lineRule="auto"/>
        <w:rPr>
          <w:rFonts w:asciiTheme="minorEastAsia" w:hAnsiTheme="minorEastAsia" w:eastAsiaTheme="minorEastAsia"/>
          <w:b/>
          <w:bCs/>
          <w:sz w:val="24"/>
        </w:rPr>
      </w:pPr>
    </w:p>
    <w:p w14:paraId="56753772">
      <w:pPr>
        <w:spacing w:line="360" w:lineRule="auto"/>
        <w:rPr>
          <w:rFonts w:asciiTheme="minorEastAsia" w:hAnsiTheme="minorEastAsia" w:eastAsiaTheme="minorEastAsia"/>
          <w:b/>
          <w:bCs/>
          <w:sz w:val="24"/>
          <w:u w:val="single"/>
        </w:rPr>
      </w:pPr>
      <w:r>
        <w:rPr>
          <w:rFonts w:hint="eastAsia" w:asciiTheme="minorEastAsia" w:hAnsiTheme="minorEastAsia" w:eastAsiaTheme="minorEastAsia"/>
          <w:b/>
          <w:bCs/>
          <w:sz w:val="24"/>
        </w:rPr>
        <w:t>致：采购人</w:t>
      </w:r>
    </w:p>
    <w:p w14:paraId="69DCE229">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59DD1F40">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（1）中标或者成交后无正当理由拒不与采购人签订采购合同；</w:t>
      </w:r>
    </w:p>
    <w:p w14:paraId="1304CAB8">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（2）未按照采购文件确定的事项签订采购合同；</w:t>
      </w:r>
    </w:p>
    <w:p w14:paraId="39E1C0F9">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（3）将采购合同转包；</w:t>
      </w:r>
    </w:p>
    <w:p w14:paraId="24B4D8EA">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（4）提供假冒伪劣产品；</w:t>
      </w:r>
    </w:p>
    <w:p w14:paraId="48F25549">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（5）擅自变更、中止或者终止采购合同。</w:t>
      </w:r>
    </w:p>
    <w:p w14:paraId="13BEA7EA">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本单位知悉如出现上述情形，将会被依法追究法律责任。</w:t>
      </w:r>
    </w:p>
    <w:p w14:paraId="143C800C">
      <w:pPr>
        <w:spacing w:line="360" w:lineRule="auto"/>
        <w:rPr>
          <w:rFonts w:asciiTheme="minorEastAsia" w:hAnsiTheme="minorEastAsia" w:eastAsiaTheme="minorEastAsia"/>
          <w:bCs/>
          <w:sz w:val="24"/>
        </w:rPr>
      </w:pPr>
    </w:p>
    <w:p w14:paraId="7008FD23">
      <w:pPr>
        <w:spacing w:line="360" w:lineRule="auto"/>
        <w:rPr>
          <w:rFonts w:asciiTheme="minorEastAsia" w:hAnsiTheme="minorEastAsia" w:eastAsiaTheme="minorEastAsia"/>
          <w:bCs/>
          <w:sz w:val="24"/>
        </w:rPr>
      </w:pPr>
    </w:p>
    <w:p w14:paraId="23E40B12">
      <w:pPr>
        <w:spacing w:line="360" w:lineRule="auto"/>
        <w:ind w:firstLine="4320" w:firstLineChars="1800"/>
        <w:rPr>
          <w:rFonts w:asciiTheme="minorEastAsia" w:hAnsiTheme="minorEastAsia" w:eastAsiaTheme="minorEastAsia"/>
          <w:bCs/>
          <w:sz w:val="24"/>
          <w:u w:val="single"/>
        </w:rPr>
      </w:pPr>
      <w:r>
        <w:rPr>
          <w:rFonts w:hint="eastAsia" w:asciiTheme="minorEastAsia" w:hAnsiTheme="minorEastAsia" w:eastAsiaTheme="minorEastAsia"/>
          <w:bCs/>
          <w:sz w:val="24"/>
        </w:rPr>
        <w:t>投标人公章：</w:t>
      </w:r>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r>
        <w:rPr>
          <w:rFonts w:hint="eastAsia" w:asciiTheme="minorEastAsia" w:hAnsiTheme="minorEastAsia" w:eastAsiaTheme="minorEastAsia"/>
          <w:bCs/>
          <w:sz w:val="24"/>
          <w:u w:val="single"/>
        </w:rPr>
        <w:t xml:space="preserve">    </w:t>
      </w:r>
    </w:p>
    <w:p w14:paraId="7E8985FB">
      <w:pPr>
        <w:spacing w:line="360" w:lineRule="auto"/>
        <w:ind w:firstLine="4320" w:firstLineChars="1800"/>
        <w:rPr>
          <w:rFonts w:asciiTheme="minorEastAsia" w:hAnsiTheme="minorEastAsia" w:eastAsiaTheme="minorEastAsia"/>
          <w:bCs/>
          <w:sz w:val="24"/>
        </w:rPr>
      </w:pPr>
      <w:r>
        <w:rPr>
          <w:rFonts w:hint="eastAsia" w:asciiTheme="minorEastAsia" w:hAnsiTheme="minorEastAsia" w:eastAsiaTheme="minorEastAsia"/>
          <w:bCs/>
          <w:sz w:val="24"/>
        </w:rPr>
        <w:t>日      期：</w:t>
      </w:r>
      <w:r>
        <w:rPr>
          <w:rFonts w:hint="eastAsia" w:asciiTheme="minorEastAsia" w:hAnsiTheme="minorEastAsia" w:eastAsiaTheme="minorEastAsia"/>
          <w:bCs/>
          <w:sz w:val="24"/>
          <w:u w:val="single"/>
        </w:rPr>
        <w:t xml:space="preserve">             </w:t>
      </w:r>
    </w:p>
    <w:p w14:paraId="7CE5E338">
      <w:pPr>
        <w:widowControl/>
        <w:jc w:val="left"/>
        <w:rPr>
          <w:rFonts w:ascii="宋体" w:hAnsi="宋体" w:eastAsia="宋体" w:cs="Arial"/>
          <w:sz w:val="24"/>
        </w:rPr>
      </w:pPr>
      <w:r>
        <w:rPr>
          <w:rFonts w:ascii="宋体" w:hAnsi="宋体" w:eastAsia="宋体" w:cs="Arial"/>
          <w:sz w:val="24"/>
        </w:rPr>
        <w:br w:type="page"/>
      </w:r>
    </w:p>
    <w:bookmarkEnd w:id="72"/>
    <w:p w14:paraId="1A4AD10F">
      <w:pPr>
        <w:spacing w:line="360" w:lineRule="auto"/>
        <w:jc w:val="center"/>
        <w:outlineLvl w:val="1"/>
        <w:rPr>
          <w:rFonts w:asciiTheme="minorEastAsia" w:hAnsiTheme="minorEastAsia" w:eastAsiaTheme="minorEastAsia"/>
          <w:b/>
          <w:sz w:val="24"/>
        </w:rPr>
      </w:pPr>
      <w:bookmarkStart w:id="73" w:name="_Toc32633"/>
      <w:bookmarkStart w:id="74" w:name="_Toc2683"/>
      <w:r>
        <w:rPr>
          <w:rFonts w:hint="eastAsia" w:asciiTheme="minorEastAsia" w:hAnsiTheme="minorEastAsia" w:eastAsiaTheme="minorEastAsia"/>
          <w:b/>
          <w:sz w:val="24"/>
        </w:rPr>
        <w:t>八、其他相关证明材料</w:t>
      </w:r>
      <w:bookmarkEnd w:id="73"/>
      <w:bookmarkEnd w:id="74"/>
    </w:p>
    <w:p w14:paraId="4342EDB6">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提供符合招标公告、采购需求及评标方法和标准规定的相关证明文件。</w:t>
      </w: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2020503050405090304"/>
    <w:charset w:val="00"/>
    <w:family w:val="roman"/>
    <w:pitch w:val="default"/>
    <w:sig w:usb0="00000000" w:usb1="00000000" w:usb2="00000001" w:usb3="00000000" w:csb0="400001BF" w:csb1="DFF70000"/>
  </w:font>
  <w:font w:name="Sylfaen">
    <w:panose1 w:val="010A0502050306030303"/>
    <w:charset w:val="00"/>
    <w:family w:val="roman"/>
    <w:pitch w:val="default"/>
    <w:sig w:usb0="04000687" w:usb1="00000000" w:usb2="00000000" w:usb3="00000000" w:csb0="2000009F" w:csb1="00000000"/>
  </w:font>
  <w:font w:name="MingLiU">
    <w:altName w:val="Source Han Sans HW TC VF"/>
    <w:panose1 w:val="02010609000101010101"/>
    <w:charset w:val="88"/>
    <w:family w:val="modern"/>
    <w:pitch w:val="default"/>
    <w:sig w:usb0="00000000" w:usb1="00000000" w:usb2="00000016" w:usb3="00000000" w:csb0="00100001" w:csb1="00000000"/>
  </w:font>
  <w:font w:name="华文楷体">
    <w:panose1 w:val="02010600040101010101"/>
    <w:charset w:val="86"/>
    <w:family w:val="auto"/>
    <w:pitch w:val="default"/>
    <w:sig w:usb0="00000287" w:usb1="080F0000" w:usb2="00000000" w:usb3="00000000" w:csb0="0004009F" w:csb1="DFD70000"/>
  </w:font>
  <w:font w:name="MS Mincho">
    <w:altName w:val="Source Han Serif TC VF"/>
    <w:panose1 w:val="02020609040205080304"/>
    <w:charset w:val="80"/>
    <w:family w:val="modern"/>
    <w:pitch w:val="default"/>
    <w:sig w:usb0="00000000" w:usb1="00000000" w:usb2="00000012" w:usb3="00000000" w:csb0="0002009F"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Source Han Serif TC VF">
    <w:panose1 w:val="02020200000000000000"/>
    <w:charset w:val="88"/>
    <w:family w:val="auto"/>
    <w:pitch w:val="default"/>
    <w:sig w:usb0="30000083" w:usb1="2BDF3C10" w:usb2="00000016" w:usb3="00000000" w:csb0="603A0107" w:csb1="00000000"/>
  </w:font>
  <w:font w:name="Source Han Sans HW TC VF">
    <w:panose1 w:val="020B0500000000000000"/>
    <w:charset w:val="88"/>
    <w:family w:val="auto"/>
    <w:pitch w:val="default"/>
    <w:sig w:usb0="30000083" w:usb1="2BDF3C10" w:usb2="00000016" w:usb3="00000000" w:csb0="603A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F64BE">
    <w:pPr>
      <w:pStyle w:val="14"/>
      <w:jc w:val="center"/>
      <w:rPr>
        <w:rFonts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A23A4">
    <w:pPr>
      <w:pStyle w:val="1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D8971">
                          <w:pPr>
                            <w:pStyle w:val="14"/>
                            <w:rPr>
                              <w:rFonts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50</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ascii="宋体" w:hAnsi="宋体" w:eastAsia="宋体" w:cs="宋体"/>
                              <w:sz w:val="21"/>
                              <w:szCs w:val="21"/>
                            </w:rPr>
                            <w:t>52</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327D8971">
                    <w:pPr>
                      <w:pStyle w:val="14"/>
                      <w:rPr>
                        <w:rFonts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50</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ascii="宋体" w:hAnsi="宋体" w:eastAsia="宋体" w:cs="宋体"/>
                        <w:sz w:val="21"/>
                        <w:szCs w:val="21"/>
                      </w:rPr>
                      <w:t>52</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65445">
    <w:pPr>
      <w:pStyle w:val="15"/>
      <w:jc w:val="left"/>
      <w:rPr>
        <w:rFonts w:asciiTheme="minorEastAsia" w:hAnsiTheme="minorEastAsia" w:eastAsiaTheme="minorEastAsia"/>
      </w:rPr>
    </w:pPr>
    <w:r>
      <w:rPr>
        <w:rFonts w:hint="eastAsia" w:asciiTheme="minorEastAsia" w:hAnsiTheme="minorEastAsia" w:eastAsiaTheme="minorEastAsia"/>
      </w:rPr>
      <w:t>宁波</w:t>
    </w:r>
    <w:r>
      <w:rPr>
        <w:rFonts w:asciiTheme="minorEastAsia" w:hAnsiTheme="minorEastAsia" w:eastAsiaTheme="minorEastAsia"/>
      </w:rPr>
      <w:t>通商银行</w:t>
    </w:r>
    <w:r>
      <w:rPr>
        <w:rFonts w:hint="eastAsia" w:asciiTheme="minorEastAsia" w:hAnsiTheme="minorEastAsia" w:eastAsiaTheme="minorEastAsia"/>
      </w:rPr>
      <w:t>采购项目公开招标文件</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O">
    <w15:presenceInfo w15:providerId="WPS Office" w15:userId="213554148"/>
  </w15:person>
  <w15:person w15:author="jinziyi">
    <w15:presenceInfo w15:providerId="None" w15:userId="jinzi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VlYjQzMDhiYzA3NWZlODA5OTkxMDRiNDU3ZjExNjEifQ=="/>
  </w:docVars>
  <w:rsids>
    <w:rsidRoot w:val="00276BA1"/>
    <w:rsid w:val="0000043F"/>
    <w:rsid w:val="000005EC"/>
    <w:rsid w:val="00003F56"/>
    <w:rsid w:val="000049DA"/>
    <w:rsid w:val="00004F40"/>
    <w:rsid w:val="000056B7"/>
    <w:rsid w:val="00012A13"/>
    <w:rsid w:val="000131F7"/>
    <w:rsid w:val="00016B6C"/>
    <w:rsid w:val="00017D12"/>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039"/>
    <w:rsid w:val="00097CB9"/>
    <w:rsid w:val="000A2EF3"/>
    <w:rsid w:val="000A2F2B"/>
    <w:rsid w:val="000A3569"/>
    <w:rsid w:val="000A4640"/>
    <w:rsid w:val="000A6345"/>
    <w:rsid w:val="000A6693"/>
    <w:rsid w:val="000A6B73"/>
    <w:rsid w:val="000A6CB6"/>
    <w:rsid w:val="000A7D94"/>
    <w:rsid w:val="000B01C1"/>
    <w:rsid w:val="000B1511"/>
    <w:rsid w:val="000B54F4"/>
    <w:rsid w:val="000B5F5C"/>
    <w:rsid w:val="000C1DB1"/>
    <w:rsid w:val="000C3E77"/>
    <w:rsid w:val="000C7956"/>
    <w:rsid w:val="000D3F37"/>
    <w:rsid w:val="000D431F"/>
    <w:rsid w:val="000D6807"/>
    <w:rsid w:val="000E2208"/>
    <w:rsid w:val="000E3C74"/>
    <w:rsid w:val="000E3F9B"/>
    <w:rsid w:val="000E4FE2"/>
    <w:rsid w:val="000E6689"/>
    <w:rsid w:val="000E7FBC"/>
    <w:rsid w:val="000F00A3"/>
    <w:rsid w:val="000F014C"/>
    <w:rsid w:val="000F172B"/>
    <w:rsid w:val="000F1C24"/>
    <w:rsid w:val="000F2198"/>
    <w:rsid w:val="000F39B6"/>
    <w:rsid w:val="000F40B2"/>
    <w:rsid w:val="000F6B7B"/>
    <w:rsid w:val="00100B0F"/>
    <w:rsid w:val="0010187C"/>
    <w:rsid w:val="001037E3"/>
    <w:rsid w:val="00110911"/>
    <w:rsid w:val="0011288E"/>
    <w:rsid w:val="00116A70"/>
    <w:rsid w:val="0012143A"/>
    <w:rsid w:val="001222C6"/>
    <w:rsid w:val="0013295A"/>
    <w:rsid w:val="0013384A"/>
    <w:rsid w:val="00136D80"/>
    <w:rsid w:val="00137C7C"/>
    <w:rsid w:val="00140687"/>
    <w:rsid w:val="00141707"/>
    <w:rsid w:val="00142AAF"/>
    <w:rsid w:val="00143D40"/>
    <w:rsid w:val="0014517A"/>
    <w:rsid w:val="00146421"/>
    <w:rsid w:val="001467FF"/>
    <w:rsid w:val="001479CF"/>
    <w:rsid w:val="00150567"/>
    <w:rsid w:val="00155F64"/>
    <w:rsid w:val="00157148"/>
    <w:rsid w:val="00157856"/>
    <w:rsid w:val="00160729"/>
    <w:rsid w:val="00160D83"/>
    <w:rsid w:val="001644D1"/>
    <w:rsid w:val="00164D27"/>
    <w:rsid w:val="00165D23"/>
    <w:rsid w:val="00166ED8"/>
    <w:rsid w:val="001714C9"/>
    <w:rsid w:val="001754E2"/>
    <w:rsid w:val="00177DAF"/>
    <w:rsid w:val="0018119B"/>
    <w:rsid w:val="001812B3"/>
    <w:rsid w:val="00181D07"/>
    <w:rsid w:val="001826D0"/>
    <w:rsid w:val="00183344"/>
    <w:rsid w:val="00183897"/>
    <w:rsid w:val="001844AB"/>
    <w:rsid w:val="001848AB"/>
    <w:rsid w:val="00190F1F"/>
    <w:rsid w:val="001944B8"/>
    <w:rsid w:val="00195399"/>
    <w:rsid w:val="00196DA3"/>
    <w:rsid w:val="00197AC4"/>
    <w:rsid w:val="001A0DCD"/>
    <w:rsid w:val="001A5D34"/>
    <w:rsid w:val="001A68E5"/>
    <w:rsid w:val="001B21DF"/>
    <w:rsid w:val="001B2A54"/>
    <w:rsid w:val="001B2EF4"/>
    <w:rsid w:val="001B5014"/>
    <w:rsid w:val="001B5D8E"/>
    <w:rsid w:val="001B7327"/>
    <w:rsid w:val="001C01C3"/>
    <w:rsid w:val="001C1409"/>
    <w:rsid w:val="001C67F2"/>
    <w:rsid w:val="001D53B4"/>
    <w:rsid w:val="001E6B8C"/>
    <w:rsid w:val="001E744D"/>
    <w:rsid w:val="001F2437"/>
    <w:rsid w:val="001F28D2"/>
    <w:rsid w:val="001F2F45"/>
    <w:rsid w:val="001F3023"/>
    <w:rsid w:val="001F35F6"/>
    <w:rsid w:val="001F74CA"/>
    <w:rsid w:val="002003B6"/>
    <w:rsid w:val="002020CB"/>
    <w:rsid w:val="002049B4"/>
    <w:rsid w:val="0020520B"/>
    <w:rsid w:val="00213C55"/>
    <w:rsid w:val="002163CF"/>
    <w:rsid w:val="002168C4"/>
    <w:rsid w:val="002178B1"/>
    <w:rsid w:val="00220BF1"/>
    <w:rsid w:val="00223CF4"/>
    <w:rsid w:val="00224C4A"/>
    <w:rsid w:val="002338E2"/>
    <w:rsid w:val="0023407E"/>
    <w:rsid w:val="00240B40"/>
    <w:rsid w:val="002440D8"/>
    <w:rsid w:val="00244182"/>
    <w:rsid w:val="00245F65"/>
    <w:rsid w:val="00246810"/>
    <w:rsid w:val="00256E5E"/>
    <w:rsid w:val="00260860"/>
    <w:rsid w:val="00260B94"/>
    <w:rsid w:val="00261AFA"/>
    <w:rsid w:val="00264F2E"/>
    <w:rsid w:val="00270C54"/>
    <w:rsid w:val="00271245"/>
    <w:rsid w:val="00272E6E"/>
    <w:rsid w:val="00274A9E"/>
    <w:rsid w:val="00276292"/>
    <w:rsid w:val="00276BA1"/>
    <w:rsid w:val="00277094"/>
    <w:rsid w:val="00286BB6"/>
    <w:rsid w:val="002A1A1D"/>
    <w:rsid w:val="002A28AD"/>
    <w:rsid w:val="002A3AEE"/>
    <w:rsid w:val="002A400A"/>
    <w:rsid w:val="002A743D"/>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6D1E"/>
    <w:rsid w:val="00327C92"/>
    <w:rsid w:val="0033245B"/>
    <w:rsid w:val="00333292"/>
    <w:rsid w:val="003344E7"/>
    <w:rsid w:val="0033580B"/>
    <w:rsid w:val="0033628B"/>
    <w:rsid w:val="003365E7"/>
    <w:rsid w:val="003378D5"/>
    <w:rsid w:val="003419E9"/>
    <w:rsid w:val="003447AE"/>
    <w:rsid w:val="00344CFA"/>
    <w:rsid w:val="003473D7"/>
    <w:rsid w:val="00351AC8"/>
    <w:rsid w:val="00353075"/>
    <w:rsid w:val="00355766"/>
    <w:rsid w:val="00356B0D"/>
    <w:rsid w:val="00357842"/>
    <w:rsid w:val="00362056"/>
    <w:rsid w:val="00363E02"/>
    <w:rsid w:val="00373A96"/>
    <w:rsid w:val="00375043"/>
    <w:rsid w:val="003826C2"/>
    <w:rsid w:val="00383728"/>
    <w:rsid w:val="00383B8D"/>
    <w:rsid w:val="00384018"/>
    <w:rsid w:val="0039047D"/>
    <w:rsid w:val="00391586"/>
    <w:rsid w:val="00394128"/>
    <w:rsid w:val="003947A4"/>
    <w:rsid w:val="00395235"/>
    <w:rsid w:val="0039561A"/>
    <w:rsid w:val="00397C7D"/>
    <w:rsid w:val="003A004F"/>
    <w:rsid w:val="003B4130"/>
    <w:rsid w:val="003B67D3"/>
    <w:rsid w:val="003B6C76"/>
    <w:rsid w:val="003B715B"/>
    <w:rsid w:val="003C0A06"/>
    <w:rsid w:val="003C4630"/>
    <w:rsid w:val="003D1D14"/>
    <w:rsid w:val="003D6C7C"/>
    <w:rsid w:val="003D6EFB"/>
    <w:rsid w:val="003D7E52"/>
    <w:rsid w:val="003E25C6"/>
    <w:rsid w:val="003E6BEB"/>
    <w:rsid w:val="003E6C13"/>
    <w:rsid w:val="003F145B"/>
    <w:rsid w:val="003F2122"/>
    <w:rsid w:val="003F326A"/>
    <w:rsid w:val="00401187"/>
    <w:rsid w:val="004011AA"/>
    <w:rsid w:val="0040202C"/>
    <w:rsid w:val="00406508"/>
    <w:rsid w:val="00411592"/>
    <w:rsid w:val="0041456E"/>
    <w:rsid w:val="00414F7E"/>
    <w:rsid w:val="004164F8"/>
    <w:rsid w:val="00417FD0"/>
    <w:rsid w:val="00420B7F"/>
    <w:rsid w:val="004234BA"/>
    <w:rsid w:val="00423821"/>
    <w:rsid w:val="0042488B"/>
    <w:rsid w:val="00436AD2"/>
    <w:rsid w:val="004427B7"/>
    <w:rsid w:val="0044349F"/>
    <w:rsid w:val="00445F1F"/>
    <w:rsid w:val="00451F60"/>
    <w:rsid w:val="00452BB2"/>
    <w:rsid w:val="00455467"/>
    <w:rsid w:val="0045656D"/>
    <w:rsid w:val="00462D98"/>
    <w:rsid w:val="00472A44"/>
    <w:rsid w:val="00473A89"/>
    <w:rsid w:val="00474D3B"/>
    <w:rsid w:val="00475899"/>
    <w:rsid w:val="004802A8"/>
    <w:rsid w:val="004807DE"/>
    <w:rsid w:val="00482C78"/>
    <w:rsid w:val="004874AE"/>
    <w:rsid w:val="00492E2B"/>
    <w:rsid w:val="00494D24"/>
    <w:rsid w:val="004951D1"/>
    <w:rsid w:val="004A27D0"/>
    <w:rsid w:val="004A4D67"/>
    <w:rsid w:val="004A6FD2"/>
    <w:rsid w:val="004B26A6"/>
    <w:rsid w:val="004B2D4C"/>
    <w:rsid w:val="004C4860"/>
    <w:rsid w:val="004C7378"/>
    <w:rsid w:val="004D1030"/>
    <w:rsid w:val="004D2DAD"/>
    <w:rsid w:val="004D3D4B"/>
    <w:rsid w:val="004D5498"/>
    <w:rsid w:val="004D66A5"/>
    <w:rsid w:val="004D6B00"/>
    <w:rsid w:val="004D7915"/>
    <w:rsid w:val="004D7951"/>
    <w:rsid w:val="004E0AE0"/>
    <w:rsid w:val="004E141F"/>
    <w:rsid w:val="004E1A64"/>
    <w:rsid w:val="004E1D50"/>
    <w:rsid w:val="004E3345"/>
    <w:rsid w:val="004E502F"/>
    <w:rsid w:val="004F0396"/>
    <w:rsid w:val="004F11DD"/>
    <w:rsid w:val="004F4E05"/>
    <w:rsid w:val="00501382"/>
    <w:rsid w:val="00503E2F"/>
    <w:rsid w:val="005054B9"/>
    <w:rsid w:val="00506E4F"/>
    <w:rsid w:val="00510798"/>
    <w:rsid w:val="00514ED8"/>
    <w:rsid w:val="00515F12"/>
    <w:rsid w:val="00516612"/>
    <w:rsid w:val="00522AB8"/>
    <w:rsid w:val="00522B2E"/>
    <w:rsid w:val="00522EF2"/>
    <w:rsid w:val="00524A11"/>
    <w:rsid w:val="00527768"/>
    <w:rsid w:val="00530A33"/>
    <w:rsid w:val="005327FB"/>
    <w:rsid w:val="00533FCA"/>
    <w:rsid w:val="00537384"/>
    <w:rsid w:val="00541C0B"/>
    <w:rsid w:val="0054317E"/>
    <w:rsid w:val="00544C2A"/>
    <w:rsid w:val="00546D49"/>
    <w:rsid w:val="00556D4C"/>
    <w:rsid w:val="005614B4"/>
    <w:rsid w:val="005616B5"/>
    <w:rsid w:val="00571315"/>
    <w:rsid w:val="00576C53"/>
    <w:rsid w:val="00582075"/>
    <w:rsid w:val="00584A63"/>
    <w:rsid w:val="005854F1"/>
    <w:rsid w:val="00585EB3"/>
    <w:rsid w:val="00586D28"/>
    <w:rsid w:val="00586FA2"/>
    <w:rsid w:val="00591688"/>
    <w:rsid w:val="00592509"/>
    <w:rsid w:val="00594986"/>
    <w:rsid w:val="00597B15"/>
    <w:rsid w:val="005A044C"/>
    <w:rsid w:val="005B1F12"/>
    <w:rsid w:val="005B5C95"/>
    <w:rsid w:val="005B6740"/>
    <w:rsid w:val="005D0200"/>
    <w:rsid w:val="005D0808"/>
    <w:rsid w:val="005D1954"/>
    <w:rsid w:val="005D44EF"/>
    <w:rsid w:val="005D4814"/>
    <w:rsid w:val="005D5112"/>
    <w:rsid w:val="005F03E3"/>
    <w:rsid w:val="005F3914"/>
    <w:rsid w:val="005F3B5A"/>
    <w:rsid w:val="005F6AB4"/>
    <w:rsid w:val="00610A66"/>
    <w:rsid w:val="00613177"/>
    <w:rsid w:val="00613F7C"/>
    <w:rsid w:val="00614BF2"/>
    <w:rsid w:val="00614CC5"/>
    <w:rsid w:val="0061618E"/>
    <w:rsid w:val="00620560"/>
    <w:rsid w:val="006208CB"/>
    <w:rsid w:val="00623DE2"/>
    <w:rsid w:val="00627601"/>
    <w:rsid w:val="006300D0"/>
    <w:rsid w:val="00632012"/>
    <w:rsid w:val="00634694"/>
    <w:rsid w:val="00635F9D"/>
    <w:rsid w:val="00636517"/>
    <w:rsid w:val="00637690"/>
    <w:rsid w:val="00640E1E"/>
    <w:rsid w:val="00643317"/>
    <w:rsid w:val="0064334D"/>
    <w:rsid w:val="0064389A"/>
    <w:rsid w:val="00645442"/>
    <w:rsid w:val="00647593"/>
    <w:rsid w:val="006525CD"/>
    <w:rsid w:val="00653353"/>
    <w:rsid w:val="00653F7F"/>
    <w:rsid w:val="00662EE8"/>
    <w:rsid w:val="00663813"/>
    <w:rsid w:val="00663C3B"/>
    <w:rsid w:val="00664AFD"/>
    <w:rsid w:val="00667567"/>
    <w:rsid w:val="0067391A"/>
    <w:rsid w:val="00674173"/>
    <w:rsid w:val="00674602"/>
    <w:rsid w:val="0067535A"/>
    <w:rsid w:val="0067562A"/>
    <w:rsid w:val="00682692"/>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D4C83"/>
    <w:rsid w:val="006E06D9"/>
    <w:rsid w:val="006E1D40"/>
    <w:rsid w:val="006E2E1F"/>
    <w:rsid w:val="006E4BE8"/>
    <w:rsid w:val="006E5020"/>
    <w:rsid w:val="006F4DC7"/>
    <w:rsid w:val="006F5FFF"/>
    <w:rsid w:val="006F6E33"/>
    <w:rsid w:val="006F7AF3"/>
    <w:rsid w:val="00702CF1"/>
    <w:rsid w:val="00703635"/>
    <w:rsid w:val="007054AA"/>
    <w:rsid w:val="00706D4B"/>
    <w:rsid w:val="00707B8C"/>
    <w:rsid w:val="00710804"/>
    <w:rsid w:val="00711FC6"/>
    <w:rsid w:val="0071271F"/>
    <w:rsid w:val="007130B1"/>
    <w:rsid w:val="00715071"/>
    <w:rsid w:val="0072140F"/>
    <w:rsid w:val="007231E9"/>
    <w:rsid w:val="00727C59"/>
    <w:rsid w:val="00734E5D"/>
    <w:rsid w:val="00735AF1"/>
    <w:rsid w:val="00736013"/>
    <w:rsid w:val="00737661"/>
    <w:rsid w:val="00743045"/>
    <w:rsid w:val="00751BC1"/>
    <w:rsid w:val="0075251D"/>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0A45"/>
    <w:rsid w:val="007A2718"/>
    <w:rsid w:val="007A27A9"/>
    <w:rsid w:val="007A5A58"/>
    <w:rsid w:val="007A6740"/>
    <w:rsid w:val="007B1C56"/>
    <w:rsid w:val="007B34F5"/>
    <w:rsid w:val="007B4996"/>
    <w:rsid w:val="007B5147"/>
    <w:rsid w:val="007C19D8"/>
    <w:rsid w:val="007C2CAC"/>
    <w:rsid w:val="007C3CD5"/>
    <w:rsid w:val="007C61EF"/>
    <w:rsid w:val="007C64C1"/>
    <w:rsid w:val="007D1C0D"/>
    <w:rsid w:val="007D2D23"/>
    <w:rsid w:val="007D7644"/>
    <w:rsid w:val="007E27D6"/>
    <w:rsid w:val="007E3921"/>
    <w:rsid w:val="007E3F1B"/>
    <w:rsid w:val="007E5DDE"/>
    <w:rsid w:val="007F0B0D"/>
    <w:rsid w:val="007F51B6"/>
    <w:rsid w:val="007F7C10"/>
    <w:rsid w:val="00801028"/>
    <w:rsid w:val="00802CE2"/>
    <w:rsid w:val="008033EC"/>
    <w:rsid w:val="00803793"/>
    <w:rsid w:val="00804D50"/>
    <w:rsid w:val="0080643F"/>
    <w:rsid w:val="00814052"/>
    <w:rsid w:val="008149FD"/>
    <w:rsid w:val="00817A01"/>
    <w:rsid w:val="00824F21"/>
    <w:rsid w:val="00824FF0"/>
    <w:rsid w:val="0082500C"/>
    <w:rsid w:val="00825E35"/>
    <w:rsid w:val="008334F8"/>
    <w:rsid w:val="008341AA"/>
    <w:rsid w:val="00835D8E"/>
    <w:rsid w:val="008372F6"/>
    <w:rsid w:val="008377CA"/>
    <w:rsid w:val="008408CC"/>
    <w:rsid w:val="0084194E"/>
    <w:rsid w:val="00844D03"/>
    <w:rsid w:val="00847B0F"/>
    <w:rsid w:val="00852994"/>
    <w:rsid w:val="00864F9C"/>
    <w:rsid w:val="00873D89"/>
    <w:rsid w:val="00876659"/>
    <w:rsid w:val="00876677"/>
    <w:rsid w:val="0087734C"/>
    <w:rsid w:val="00882141"/>
    <w:rsid w:val="00885197"/>
    <w:rsid w:val="00887E3B"/>
    <w:rsid w:val="008922A8"/>
    <w:rsid w:val="00895728"/>
    <w:rsid w:val="00895BD5"/>
    <w:rsid w:val="00895CA6"/>
    <w:rsid w:val="0089742B"/>
    <w:rsid w:val="008A16C4"/>
    <w:rsid w:val="008A59BC"/>
    <w:rsid w:val="008A6FED"/>
    <w:rsid w:val="008B39C5"/>
    <w:rsid w:val="008B51AA"/>
    <w:rsid w:val="008B538A"/>
    <w:rsid w:val="008B7932"/>
    <w:rsid w:val="008C4704"/>
    <w:rsid w:val="008C67F2"/>
    <w:rsid w:val="008D064A"/>
    <w:rsid w:val="008D0FDB"/>
    <w:rsid w:val="008D2B0F"/>
    <w:rsid w:val="008D30BC"/>
    <w:rsid w:val="008D4BC4"/>
    <w:rsid w:val="008E449E"/>
    <w:rsid w:val="008E7062"/>
    <w:rsid w:val="008F152A"/>
    <w:rsid w:val="008F187F"/>
    <w:rsid w:val="008F402F"/>
    <w:rsid w:val="008F55FA"/>
    <w:rsid w:val="008F76E8"/>
    <w:rsid w:val="008F7CD0"/>
    <w:rsid w:val="00902545"/>
    <w:rsid w:val="00902902"/>
    <w:rsid w:val="00902A4B"/>
    <w:rsid w:val="0090510F"/>
    <w:rsid w:val="009078A1"/>
    <w:rsid w:val="00911E9C"/>
    <w:rsid w:val="00915083"/>
    <w:rsid w:val="00917405"/>
    <w:rsid w:val="00917985"/>
    <w:rsid w:val="00920035"/>
    <w:rsid w:val="00920F7C"/>
    <w:rsid w:val="00934CAE"/>
    <w:rsid w:val="00937B96"/>
    <w:rsid w:val="0094257D"/>
    <w:rsid w:val="00942F60"/>
    <w:rsid w:val="0095211B"/>
    <w:rsid w:val="0095467C"/>
    <w:rsid w:val="00954A61"/>
    <w:rsid w:val="00955C6F"/>
    <w:rsid w:val="00966C7B"/>
    <w:rsid w:val="009701DC"/>
    <w:rsid w:val="009715D8"/>
    <w:rsid w:val="009751BE"/>
    <w:rsid w:val="00980D0D"/>
    <w:rsid w:val="00982AA1"/>
    <w:rsid w:val="00985C4B"/>
    <w:rsid w:val="00986A4A"/>
    <w:rsid w:val="00995BF9"/>
    <w:rsid w:val="00997C3C"/>
    <w:rsid w:val="009A0CAF"/>
    <w:rsid w:val="009A1474"/>
    <w:rsid w:val="009A2207"/>
    <w:rsid w:val="009A5147"/>
    <w:rsid w:val="009A74C4"/>
    <w:rsid w:val="009B02D2"/>
    <w:rsid w:val="009B6C42"/>
    <w:rsid w:val="009D31F7"/>
    <w:rsid w:val="009D32C2"/>
    <w:rsid w:val="009D50DB"/>
    <w:rsid w:val="009D6C53"/>
    <w:rsid w:val="009E3A0A"/>
    <w:rsid w:val="009F26D4"/>
    <w:rsid w:val="009F3E91"/>
    <w:rsid w:val="009F6CE7"/>
    <w:rsid w:val="009F7D7D"/>
    <w:rsid w:val="00A01670"/>
    <w:rsid w:val="00A1499B"/>
    <w:rsid w:val="00A20879"/>
    <w:rsid w:val="00A20AFC"/>
    <w:rsid w:val="00A23913"/>
    <w:rsid w:val="00A23E47"/>
    <w:rsid w:val="00A30C1E"/>
    <w:rsid w:val="00A314C2"/>
    <w:rsid w:val="00A34518"/>
    <w:rsid w:val="00A43B9C"/>
    <w:rsid w:val="00A441EE"/>
    <w:rsid w:val="00A4719C"/>
    <w:rsid w:val="00A47FC0"/>
    <w:rsid w:val="00A53155"/>
    <w:rsid w:val="00A56FFA"/>
    <w:rsid w:val="00A63E86"/>
    <w:rsid w:val="00A65A1C"/>
    <w:rsid w:val="00A757C3"/>
    <w:rsid w:val="00A75E5B"/>
    <w:rsid w:val="00A7684A"/>
    <w:rsid w:val="00A82AED"/>
    <w:rsid w:val="00A83B69"/>
    <w:rsid w:val="00A86533"/>
    <w:rsid w:val="00A91176"/>
    <w:rsid w:val="00A9176A"/>
    <w:rsid w:val="00A91CA2"/>
    <w:rsid w:val="00A92FB8"/>
    <w:rsid w:val="00A94885"/>
    <w:rsid w:val="00A948F1"/>
    <w:rsid w:val="00AA1D7D"/>
    <w:rsid w:val="00AA7525"/>
    <w:rsid w:val="00AB082D"/>
    <w:rsid w:val="00AB0EA9"/>
    <w:rsid w:val="00AB139D"/>
    <w:rsid w:val="00AB2C46"/>
    <w:rsid w:val="00AB3EFB"/>
    <w:rsid w:val="00AB5A1C"/>
    <w:rsid w:val="00AB5EF7"/>
    <w:rsid w:val="00AB70B8"/>
    <w:rsid w:val="00AC0B05"/>
    <w:rsid w:val="00AC763F"/>
    <w:rsid w:val="00AD079A"/>
    <w:rsid w:val="00AD1890"/>
    <w:rsid w:val="00AE2149"/>
    <w:rsid w:val="00AE33AE"/>
    <w:rsid w:val="00AE3785"/>
    <w:rsid w:val="00AE3F91"/>
    <w:rsid w:val="00AE4041"/>
    <w:rsid w:val="00AE452F"/>
    <w:rsid w:val="00AE76E6"/>
    <w:rsid w:val="00B00ACC"/>
    <w:rsid w:val="00B039E3"/>
    <w:rsid w:val="00B043C1"/>
    <w:rsid w:val="00B11C2B"/>
    <w:rsid w:val="00B22838"/>
    <w:rsid w:val="00B27D52"/>
    <w:rsid w:val="00B32BC1"/>
    <w:rsid w:val="00B33E95"/>
    <w:rsid w:val="00B34A71"/>
    <w:rsid w:val="00B34EE1"/>
    <w:rsid w:val="00B35B5E"/>
    <w:rsid w:val="00B3720B"/>
    <w:rsid w:val="00B37ECB"/>
    <w:rsid w:val="00B4069E"/>
    <w:rsid w:val="00B40EE3"/>
    <w:rsid w:val="00B4535A"/>
    <w:rsid w:val="00B55271"/>
    <w:rsid w:val="00B5558A"/>
    <w:rsid w:val="00B5579D"/>
    <w:rsid w:val="00B56513"/>
    <w:rsid w:val="00B56B2E"/>
    <w:rsid w:val="00B61BC4"/>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D4069"/>
    <w:rsid w:val="00BE655E"/>
    <w:rsid w:val="00BF376F"/>
    <w:rsid w:val="00BF46A6"/>
    <w:rsid w:val="00BF4D7B"/>
    <w:rsid w:val="00BF62CF"/>
    <w:rsid w:val="00BF6B98"/>
    <w:rsid w:val="00BF73D6"/>
    <w:rsid w:val="00C02297"/>
    <w:rsid w:val="00C06545"/>
    <w:rsid w:val="00C1161C"/>
    <w:rsid w:val="00C12139"/>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1531"/>
    <w:rsid w:val="00CC4099"/>
    <w:rsid w:val="00CC45C1"/>
    <w:rsid w:val="00CD09E1"/>
    <w:rsid w:val="00CD5078"/>
    <w:rsid w:val="00CD6202"/>
    <w:rsid w:val="00CE2486"/>
    <w:rsid w:val="00CE4913"/>
    <w:rsid w:val="00CE66BD"/>
    <w:rsid w:val="00CF0671"/>
    <w:rsid w:val="00CF44AD"/>
    <w:rsid w:val="00CF4FC0"/>
    <w:rsid w:val="00CF7642"/>
    <w:rsid w:val="00D03909"/>
    <w:rsid w:val="00D04983"/>
    <w:rsid w:val="00D07883"/>
    <w:rsid w:val="00D1072F"/>
    <w:rsid w:val="00D108A5"/>
    <w:rsid w:val="00D14585"/>
    <w:rsid w:val="00D20EFF"/>
    <w:rsid w:val="00D21265"/>
    <w:rsid w:val="00D2366D"/>
    <w:rsid w:val="00D30F1B"/>
    <w:rsid w:val="00D30FC0"/>
    <w:rsid w:val="00D34F0D"/>
    <w:rsid w:val="00D3516E"/>
    <w:rsid w:val="00D4064C"/>
    <w:rsid w:val="00D44777"/>
    <w:rsid w:val="00D47F9F"/>
    <w:rsid w:val="00D53ED8"/>
    <w:rsid w:val="00D56380"/>
    <w:rsid w:val="00D56A47"/>
    <w:rsid w:val="00D64857"/>
    <w:rsid w:val="00D6493A"/>
    <w:rsid w:val="00D64EE2"/>
    <w:rsid w:val="00D67875"/>
    <w:rsid w:val="00D71CBD"/>
    <w:rsid w:val="00D71E86"/>
    <w:rsid w:val="00D72EA0"/>
    <w:rsid w:val="00D731C6"/>
    <w:rsid w:val="00D745C5"/>
    <w:rsid w:val="00D75327"/>
    <w:rsid w:val="00D76473"/>
    <w:rsid w:val="00D80C36"/>
    <w:rsid w:val="00D86779"/>
    <w:rsid w:val="00D86EE1"/>
    <w:rsid w:val="00D9120E"/>
    <w:rsid w:val="00D913B1"/>
    <w:rsid w:val="00D91BE8"/>
    <w:rsid w:val="00D92857"/>
    <w:rsid w:val="00D93793"/>
    <w:rsid w:val="00D96126"/>
    <w:rsid w:val="00D975D3"/>
    <w:rsid w:val="00DA00EC"/>
    <w:rsid w:val="00DA6FC1"/>
    <w:rsid w:val="00DB4B1C"/>
    <w:rsid w:val="00DB5085"/>
    <w:rsid w:val="00DB7706"/>
    <w:rsid w:val="00DC1062"/>
    <w:rsid w:val="00DC132C"/>
    <w:rsid w:val="00DC774B"/>
    <w:rsid w:val="00DD43F0"/>
    <w:rsid w:val="00DD4465"/>
    <w:rsid w:val="00DD44DE"/>
    <w:rsid w:val="00DE09AB"/>
    <w:rsid w:val="00DE4A3F"/>
    <w:rsid w:val="00DE4E53"/>
    <w:rsid w:val="00DE7AE9"/>
    <w:rsid w:val="00DF346A"/>
    <w:rsid w:val="00DF4367"/>
    <w:rsid w:val="00E03488"/>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57493"/>
    <w:rsid w:val="00E602E3"/>
    <w:rsid w:val="00E6032F"/>
    <w:rsid w:val="00E60B9F"/>
    <w:rsid w:val="00E66E36"/>
    <w:rsid w:val="00E6781E"/>
    <w:rsid w:val="00E702ED"/>
    <w:rsid w:val="00E705CC"/>
    <w:rsid w:val="00E709A4"/>
    <w:rsid w:val="00E70C07"/>
    <w:rsid w:val="00E73822"/>
    <w:rsid w:val="00E772DB"/>
    <w:rsid w:val="00E86012"/>
    <w:rsid w:val="00E86BAB"/>
    <w:rsid w:val="00E901A1"/>
    <w:rsid w:val="00E9181E"/>
    <w:rsid w:val="00E937FB"/>
    <w:rsid w:val="00E94E10"/>
    <w:rsid w:val="00E954BD"/>
    <w:rsid w:val="00E96743"/>
    <w:rsid w:val="00E96A42"/>
    <w:rsid w:val="00EA0A36"/>
    <w:rsid w:val="00EA0E5B"/>
    <w:rsid w:val="00EA49C5"/>
    <w:rsid w:val="00EA6F2B"/>
    <w:rsid w:val="00EB03FF"/>
    <w:rsid w:val="00EB1C1C"/>
    <w:rsid w:val="00EB5027"/>
    <w:rsid w:val="00EC1836"/>
    <w:rsid w:val="00EC3990"/>
    <w:rsid w:val="00EC484B"/>
    <w:rsid w:val="00ED15FA"/>
    <w:rsid w:val="00ED1E00"/>
    <w:rsid w:val="00EE228F"/>
    <w:rsid w:val="00EE238D"/>
    <w:rsid w:val="00EE3A2B"/>
    <w:rsid w:val="00EE6E9A"/>
    <w:rsid w:val="00EF0BF1"/>
    <w:rsid w:val="00EF27DA"/>
    <w:rsid w:val="00EF2AC4"/>
    <w:rsid w:val="00EF397E"/>
    <w:rsid w:val="00EF3F05"/>
    <w:rsid w:val="00F02599"/>
    <w:rsid w:val="00F06F68"/>
    <w:rsid w:val="00F1332D"/>
    <w:rsid w:val="00F1534B"/>
    <w:rsid w:val="00F15B93"/>
    <w:rsid w:val="00F1713B"/>
    <w:rsid w:val="00F212CB"/>
    <w:rsid w:val="00F23C7D"/>
    <w:rsid w:val="00F243DB"/>
    <w:rsid w:val="00F24C2D"/>
    <w:rsid w:val="00F24F1B"/>
    <w:rsid w:val="00F26ED0"/>
    <w:rsid w:val="00F27356"/>
    <w:rsid w:val="00F32A81"/>
    <w:rsid w:val="00F46998"/>
    <w:rsid w:val="00F47100"/>
    <w:rsid w:val="00F5382D"/>
    <w:rsid w:val="00F53D9C"/>
    <w:rsid w:val="00F5462B"/>
    <w:rsid w:val="00F57526"/>
    <w:rsid w:val="00F634AD"/>
    <w:rsid w:val="00F63677"/>
    <w:rsid w:val="00F63ABE"/>
    <w:rsid w:val="00F70B85"/>
    <w:rsid w:val="00F75B81"/>
    <w:rsid w:val="00F804C4"/>
    <w:rsid w:val="00F82F83"/>
    <w:rsid w:val="00F832E5"/>
    <w:rsid w:val="00F90F40"/>
    <w:rsid w:val="00F92B30"/>
    <w:rsid w:val="00F933B9"/>
    <w:rsid w:val="00F94674"/>
    <w:rsid w:val="00F94919"/>
    <w:rsid w:val="00F94A59"/>
    <w:rsid w:val="00FA25B6"/>
    <w:rsid w:val="00FA2B04"/>
    <w:rsid w:val="00FA2FAF"/>
    <w:rsid w:val="00FA5CCF"/>
    <w:rsid w:val="00FA64B1"/>
    <w:rsid w:val="00FA70F3"/>
    <w:rsid w:val="00FA71CD"/>
    <w:rsid w:val="00FB0453"/>
    <w:rsid w:val="00FB0C07"/>
    <w:rsid w:val="00FB16AD"/>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3D24"/>
    <w:rsid w:val="00FF44E0"/>
    <w:rsid w:val="00FF4CB6"/>
    <w:rsid w:val="00FF5834"/>
    <w:rsid w:val="00FF6C72"/>
    <w:rsid w:val="00FF6F5E"/>
    <w:rsid w:val="017B1BF9"/>
    <w:rsid w:val="01891257"/>
    <w:rsid w:val="01E93A1B"/>
    <w:rsid w:val="0214602E"/>
    <w:rsid w:val="03486B27"/>
    <w:rsid w:val="036C5F34"/>
    <w:rsid w:val="037A7E00"/>
    <w:rsid w:val="0407112D"/>
    <w:rsid w:val="040A094E"/>
    <w:rsid w:val="04B76357"/>
    <w:rsid w:val="056F201D"/>
    <w:rsid w:val="05B664D4"/>
    <w:rsid w:val="05DD22CE"/>
    <w:rsid w:val="062B37FE"/>
    <w:rsid w:val="064B485A"/>
    <w:rsid w:val="068C65C4"/>
    <w:rsid w:val="068D6051"/>
    <w:rsid w:val="07076C01"/>
    <w:rsid w:val="07194449"/>
    <w:rsid w:val="071C12AC"/>
    <w:rsid w:val="07372051"/>
    <w:rsid w:val="07A934B3"/>
    <w:rsid w:val="07EB6287"/>
    <w:rsid w:val="0806421B"/>
    <w:rsid w:val="0809219F"/>
    <w:rsid w:val="08E04023"/>
    <w:rsid w:val="0980799C"/>
    <w:rsid w:val="09944B8E"/>
    <w:rsid w:val="099E50DA"/>
    <w:rsid w:val="0A3916FF"/>
    <w:rsid w:val="0A6A18DB"/>
    <w:rsid w:val="0A975B48"/>
    <w:rsid w:val="0ABD6E69"/>
    <w:rsid w:val="0AEF3828"/>
    <w:rsid w:val="0B406381"/>
    <w:rsid w:val="0B8A4CDE"/>
    <w:rsid w:val="0BB452AA"/>
    <w:rsid w:val="0BBB665B"/>
    <w:rsid w:val="0BC82888"/>
    <w:rsid w:val="0DD771CB"/>
    <w:rsid w:val="0EEA6FC1"/>
    <w:rsid w:val="0F790928"/>
    <w:rsid w:val="0F9318AA"/>
    <w:rsid w:val="10CD72BB"/>
    <w:rsid w:val="11324ED4"/>
    <w:rsid w:val="120D7DD3"/>
    <w:rsid w:val="12197477"/>
    <w:rsid w:val="12DA3DD8"/>
    <w:rsid w:val="131B5CD3"/>
    <w:rsid w:val="13776448"/>
    <w:rsid w:val="14592015"/>
    <w:rsid w:val="1466407E"/>
    <w:rsid w:val="14834E28"/>
    <w:rsid w:val="148E7D65"/>
    <w:rsid w:val="14A954BE"/>
    <w:rsid w:val="15231BF9"/>
    <w:rsid w:val="15C4546D"/>
    <w:rsid w:val="15C76099"/>
    <w:rsid w:val="16A473E0"/>
    <w:rsid w:val="17EF1B5C"/>
    <w:rsid w:val="182123E7"/>
    <w:rsid w:val="18C4651B"/>
    <w:rsid w:val="1A064976"/>
    <w:rsid w:val="1A3B68AA"/>
    <w:rsid w:val="1A3E1C1E"/>
    <w:rsid w:val="1B6F4F40"/>
    <w:rsid w:val="1C104016"/>
    <w:rsid w:val="1C141836"/>
    <w:rsid w:val="1C174B5B"/>
    <w:rsid w:val="1C521D26"/>
    <w:rsid w:val="1C76537D"/>
    <w:rsid w:val="1C8E7C18"/>
    <w:rsid w:val="1CD9525C"/>
    <w:rsid w:val="1D54470B"/>
    <w:rsid w:val="1E6B6A14"/>
    <w:rsid w:val="1E8F7C02"/>
    <w:rsid w:val="1F634985"/>
    <w:rsid w:val="1F8C3E0D"/>
    <w:rsid w:val="204D1A45"/>
    <w:rsid w:val="20550D9A"/>
    <w:rsid w:val="21112A14"/>
    <w:rsid w:val="218E2416"/>
    <w:rsid w:val="220C2760"/>
    <w:rsid w:val="226915FE"/>
    <w:rsid w:val="234F5BD5"/>
    <w:rsid w:val="23692F0B"/>
    <w:rsid w:val="23FF77CC"/>
    <w:rsid w:val="241804A5"/>
    <w:rsid w:val="24B97929"/>
    <w:rsid w:val="24D632D7"/>
    <w:rsid w:val="24E210C0"/>
    <w:rsid w:val="25615266"/>
    <w:rsid w:val="26211AAB"/>
    <w:rsid w:val="263A4696"/>
    <w:rsid w:val="274D229B"/>
    <w:rsid w:val="27D65DBA"/>
    <w:rsid w:val="285F40CA"/>
    <w:rsid w:val="289E1AF0"/>
    <w:rsid w:val="28C01ECB"/>
    <w:rsid w:val="29895CC0"/>
    <w:rsid w:val="29BF71E3"/>
    <w:rsid w:val="29D6387F"/>
    <w:rsid w:val="29D92FE7"/>
    <w:rsid w:val="29EB0C54"/>
    <w:rsid w:val="2A100246"/>
    <w:rsid w:val="2A127B63"/>
    <w:rsid w:val="2A451A6C"/>
    <w:rsid w:val="2AAA4765"/>
    <w:rsid w:val="2AC21606"/>
    <w:rsid w:val="2B7E7608"/>
    <w:rsid w:val="2B7F04E9"/>
    <w:rsid w:val="2B8B554A"/>
    <w:rsid w:val="2BE44BFB"/>
    <w:rsid w:val="2BF26EBC"/>
    <w:rsid w:val="2D496D68"/>
    <w:rsid w:val="2E7A48DE"/>
    <w:rsid w:val="2EBA5177"/>
    <w:rsid w:val="2EDC3ED8"/>
    <w:rsid w:val="2F104B00"/>
    <w:rsid w:val="2F6351B4"/>
    <w:rsid w:val="2FC86126"/>
    <w:rsid w:val="2FCF199E"/>
    <w:rsid w:val="30483E83"/>
    <w:rsid w:val="30BF3991"/>
    <w:rsid w:val="30CF6D59"/>
    <w:rsid w:val="30F93D50"/>
    <w:rsid w:val="3105267B"/>
    <w:rsid w:val="3111619A"/>
    <w:rsid w:val="316F2E8C"/>
    <w:rsid w:val="31B139DC"/>
    <w:rsid w:val="32497AF3"/>
    <w:rsid w:val="343C0775"/>
    <w:rsid w:val="345B7656"/>
    <w:rsid w:val="35232296"/>
    <w:rsid w:val="356C50EC"/>
    <w:rsid w:val="36137E45"/>
    <w:rsid w:val="36376E0A"/>
    <w:rsid w:val="3700166C"/>
    <w:rsid w:val="379A1012"/>
    <w:rsid w:val="38694EE9"/>
    <w:rsid w:val="3A6818FA"/>
    <w:rsid w:val="3AC6700B"/>
    <w:rsid w:val="3B051543"/>
    <w:rsid w:val="3B365CC9"/>
    <w:rsid w:val="3B9A7B88"/>
    <w:rsid w:val="3CB4052C"/>
    <w:rsid w:val="3D2C7AC8"/>
    <w:rsid w:val="3D3B21AB"/>
    <w:rsid w:val="3D855D12"/>
    <w:rsid w:val="3D8B42FF"/>
    <w:rsid w:val="3DE86C4C"/>
    <w:rsid w:val="3DF36A6E"/>
    <w:rsid w:val="3E4463D6"/>
    <w:rsid w:val="3E4B7E2B"/>
    <w:rsid w:val="3EBA1EE9"/>
    <w:rsid w:val="3F182ACE"/>
    <w:rsid w:val="3F2738F2"/>
    <w:rsid w:val="3F792F1E"/>
    <w:rsid w:val="40824826"/>
    <w:rsid w:val="40C534ED"/>
    <w:rsid w:val="40E63923"/>
    <w:rsid w:val="41DB5CC2"/>
    <w:rsid w:val="42D75573"/>
    <w:rsid w:val="4302227B"/>
    <w:rsid w:val="43251536"/>
    <w:rsid w:val="43A91E5B"/>
    <w:rsid w:val="449E0D39"/>
    <w:rsid w:val="44F64275"/>
    <w:rsid w:val="45E32B26"/>
    <w:rsid w:val="463A3650"/>
    <w:rsid w:val="46461627"/>
    <w:rsid w:val="465F0D84"/>
    <w:rsid w:val="46746CBA"/>
    <w:rsid w:val="469F0116"/>
    <w:rsid w:val="46EF2004"/>
    <w:rsid w:val="475259B7"/>
    <w:rsid w:val="488302AE"/>
    <w:rsid w:val="48831CF9"/>
    <w:rsid w:val="48B063DE"/>
    <w:rsid w:val="49024C9C"/>
    <w:rsid w:val="49B1408D"/>
    <w:rsid w:val="4A7D4FD2"/>
    <w:rsid w:val="4A913C9A"/>
    <w:rsid w:val="4B1F70AC"/>
    <w:rsid w:val="4B21382A"/>
    <w:rsid w:val="4B240F94"/>
    <w:rsid w:val="4B390BF7"/>
    <w:rsid w:val="4B893EEB"/>
    <w:rsid w:val="4BCA04E6"/>
    <w:rsid w:val="4C0051DF"/>
    <w:rsid w:val="4C0832E5"/>
    <w:rsid w:val="4C3C565C"/>
    <w:rsid w:val="4CCC79C7"/>
    <w:rsid w:val="4D7555C7"/>
    <w:rsid w:val="4DB05702"/>
    <w:rsid w:val="4EAE6DA0"/>
    <w:rsid w:val="4F5E0042"/>
    <w:rsid w:val="4F6463E1"/>
    <w:rsid w:val="4FE617D9"/>
    <w:rsid w:val="5016514B"/>
    <w:rsid w:val="502846A3"/>
    <w:rsid w:val="508C3EBE"/>
    <w:rsid w:val="50BD4DF3"/>
    <w:rsid w:val="50C23D07"/>
    <w:rsid w:val="50FC1A26"/>
    <w:rsid w:val="516E477D"/>
    <w:rsid w:val="51723664"/>
    <w:rsid w:val="51BD44CE"/>
    <w:rsid w:val="51CB1C78"/>
    <w:rsid w:val="51FD6A51"/>
    <w:rsid w:val="526B680A"/>
    <w:rsid w:val="52836F71"/>
    <w:rsid w:val="52D26B02"/>
    <w:rsid w:val="539058A9"/>
    <w:rsid w:val="541A5D30"/>
    <w:rsid w:val="542F7A11"/>
    <w:rsid w:val="55BC3793"/>
    <w:rsid w:val="55C1559C"/>
    <w:rsid w:val="55F068CD"/>
    <w:rsid w:val="562B5373"/>
    <w:rsid w:val="563220FD"/>
    <w:rsid w:val="566C3136"/>
    <w:rsid w:val="568D04F2"/>
    <w:rsid w:val="573B4FAB"/>
    <w:rsid w:val="57AF0E5C"/>
    <w:rsid w:val="57C707FD"/>
    <w:rsid w:val="580451D8"/>
    <w:rsid w:val="595C397B"/>
    <w:rsid w:val="59A85A64"/>
    <w:rsid w:val="5A4A55AF"/>
    <w:rsid w:val="5A526582"/>
    <w:rsid w:val="5A5F5C77"/>
    <w:rsid w:val="5A711A0D"/>
    <w:rsid w:val="5B1613E4"/>
    <w:rsid w:val="5B78003B"/>
    <w:rsid w:val="5BC11A60"/>
    <w:rsid w:val="5C614881"/>
    <w:rsid w:val="5C7A4D54"/>
    <w:rsid w:val="5CD23B73"/>
    <w:rsid w:val="5D090BC2"/>
    <w:rsid w:val="5D4E1347"/>
    <w:rsid w:val="5ECC474B"/>
    <w:rsid w:val="5F127819"/>
    <w:rsid w:val="5FFFEDE5"/>
    <w:rsid w:val="60350ED3"/>
    <w:rsid w:val="60761EAC"/>
    <w:rsid w:val="60B72AEE"/>
    <w:rsid w:val="61025188"/>
    <w:rsid w:val="61057D5F"/>
    <w:rsid w:val="6126068F"/>
    <w:rsid w:val="614D4977"/>
    <w:rsid w:val="61AB234B"/>
    <w:rsid w:val="624B51DE"/>
    <w:rsid w:val="62B650D2"/>
    <w:rsid w:val="6389770A"/>
    <w:rsid w:val="63C60FC0"/>
    <w:rsid w:val="64BA3D7A"/>
    <w:rsid w:val="64F179BC"/>
    <w:rsid w:val="65036C1F"/>
    <w:rsid w:val="65672973"/>
    <w:rsid w:val="65F83560"/>
    <w:rsid w:val="665704D3"/>
    <w:rsid w:val="67C065A4"/>
    <w:rsid w:val="67D359C9"/>
    <w:rsid w:val="67D363A2"/>
    <w:rsid w:val="67FF35EF"/>
    <w:rsid w:val="68042537"/>
    <w:rsid w:val="686E31FE"/>
    <w:rsid w:val="68E40C87"/>
    <w:rsid w:val="68FE36DD"/>
    <w:rsid w:val="694E60FC"/>
    <w:rsid w:val="695F66B0"/>
    <w:rsid w:val="6A256904"/>
    <w:rsid w:val="6AFA30CC"/>
    <w:rsid w:val="6B656832"/>
    <w:rsid w:val="6BB5604F"/>
    <w:rsid w:val="6C675CE6"/>
    <w:rsid w:val="6D1E04B5"/>
    <w:rsid w:val="6D4F4321"/>
    <w:rsid w:val="6DF41B82"/>
    <w:rsid w:val="6DFF7360"/>
    <w:rsid w:val="6E7A5F73"/>
    <w:rsid w:val="6EC16511"/>
    <w:rsid w:val="6EC60C86"/>
    <w:rsid w:val="6EE90F9D"/>
    <w:rsid w:val="6F045092"/>
    <w:rsid w:val="6F1F1E68"/>
    <w:rsid w:val="6FD74228"/>
    <w:rsid w:val="6FF01579"/>
    <w:rsid w:val="6FFA0898"/>
    <w:rsid w:val="7021106F"/>
    <w:rsid w:val="710028BF"/>
    <w:rsid w:val="71473A67"/>
    <w:rsid w:val="71486729"/>
    <w:rsid w:val="71633091"/>
    <w:rsid w:val="7194581F"/>
    <w:rsid w:val="71BF1660"/>
    <w:rsid w:val="722331C9"/>
    <w:rsid w:val="73081CA5"/>
    <w:rsid w:val="73D411F9"/>
    <w:rsid w:val="74201F7D"/>
    <w:rsid w:val="7484007B"/>
    <w:rsid w:val="74873ED3"/>
    <w:rsid w:val="7487762D"/>
    <w:rsid w:val="74C33AA4"/>
    <w:rsid w:val="75210D7A"/>
    <w:rsid w:val="75385498"/>
    <w:rsid w:val="75414804"/>
    <w:rsid w:val="75F37776"/>
    <w:rsid w:val="76331477"/>
    <w:rsid w:val="7642517C"/>
    <w:rsid w:val="76BC207F"/>
    <w:rsid w:val="76EB4904"/>
    <w:rsid w:val="776102F3"/>
    <w:rsid w:val="77645DCD"/>
    <w:rsid w:val="777378F5"/>
    <w:rsid w:val="777A2D3C"/>
    <w:rsid w:val="783C3F2D"/>
    <w:rsid w:val="78671C5E"/>
    <w:rsid w:val="790713D1"/>
    <w:rsid w:val="79074B81"/>
    <w:rsid w:val="79130BDB"/>
    <w:rsid w:val="794F0939"/>
    <w:rsid w:val="79AF0FCA"/>
    <w:rsid w:val="7AC96AE3"/>
    <w:rsid w:val="7AF9279C"/>
    <w:rsid w:val="7CC51958"/>
    <w:rsid w:val="7CD53DF9"/>
    <w:rsid w:val="7D097C86"/>
    <w:rsid w:val="7DF95EA2"/>
    <w:rsid w:val="7E2936C3"/>
    <w:rsid w:val="7E6411B9"/>
    <w:rsid w:val="EF7767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3">
    <w:name w:val="heading 1"/>
    <w:basedOn w:val="1"/>
    <w:next w:val="1"/>
    <w:link w:val="45"/>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link w:val="47"/>
    <w:autoRedefine/>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52"/>
    <w:autoRedefine/>
    <w:qFormat/>
    <w:uiPriority w:val="0"/>
    <w:pPr>
      <w:keepNext/>
      <w:keepLines/>
      <w:spacing w:before="280" w:after="290" w:line="376" w:lineRule="auto"/>
      <w:outlineLvl w:val="3"/>
    </w:pPr>
    <w:rPr>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after="120"/>
    </w:pPr>
    <w:rPr>
      <w:rFonts w:ascii="@微软简标宋" w:hAnsi="@微软简标宋" w:eastAsia="@微软简标宋" w:cs="@微软简标宋"/>
      <w:szCs w:val="24"/>
      <w:lang w:val="zh-CN"/>
    </w:rPr>
  </w:style>
  <w:style w:type="paragraph" w:styleId="7">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44"/>
    <w:autoRedefine/>
    <w:qFormat/>
    <w:uiPriority w:val="0"/>
    <w:pPr>
      <w:jc w:val="left"/>
    </w:pPr>
    <w:rPr>
      <w:rFonts w:ascii="Arial" w:hAnsi="Arial" w:eastAsia="黑体" w:cs="Arial"/>
    </w:rPr>
  </w:style>
  <w:style w:type="paragraph" w:styleId="9">
    <w:name w:val="Body Text Indent"/>
    <w:basedOn w:val="1"/>
    <w:autoRedefine/>
    <w:qFormat/>
    <w:uiPriority w:val="0"/>
    <w:pPr>
      <w:spacing w:after="120"/>
      <w:ind w:left="420" w:leftChars="200"/>
    </w:pPr>
  </w:style>
  <w:style w:type="paragraph" w:styleId="10">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1">
    <w:name w:val="Plain Text"/>
    <w:basedOn w:val="1"/>
    <w:link w:val="34"/>
    <w:autoRedefine/>
    <w:qFormat/>
    <w:uiPriority w:val="99"/>
    <w:rPr>
      <w:rFonts w:ascii="宋体" w:hAnsi="Courier New" w:eastAsiaTheme="minorEastAsia" w:cstheme="minorBidi"/>
      <w:szCs w:val="22"/>
    </w:rPr>
  </w:style>
  <w:style w:type="paragraph" w:styleId="12">
    <w:name w:val="Date"/>
    <w:basedOn w:val="1"/>
    <w:next w:val="1"/>
    <w:link w:val="41"/>
    <w:autoRedefine/>
    <w:qFormat/>
    <w:uiPriority w:val="0"/>
    <w:rPr>
      <w:rFonts w:ascii="Arial" w:hAnsi="Arial" w:eastAsia="宋体" w:cs="Arial"/>
      <w:b/>
      <w:sz w:val="28"/>
    </w:rPr>
  </w:style>
  <w:style w:type="paragraph" w:styleId="13">
    <w:name w:val="Balloon Text"/>
    <w:basedOn w:val="1"/>
    <w:link w:val="28"/>
    <w:autoRedefine/>
    <w:semiHidden/>
    <w:unhideWhenUsed/>
    <w:qFormat/>
    <w:uiPriority w:val="99"/>
    <w:rPr>
      <w:sz w:val="18"/>
      <w:szCs w:val="18"/>
    </w:rPr>
  </w:style>
  <w:style w:type="paragraph" w:styleId="14">
    <w:name w:val="footer"/>
    <w:basedOn w:val="1"/>
    <w:link w:val="33"/>
    <w:autoRedefine/>
    <w:unhideWhenUsed/>
    <w:qFormat/>
    <w:uiPriority w:val="99"/>
    <w:pPr>
      <w:tabs>
        <w:tab w:val="center" w:pos="4153"/>
        <w:tab w:val="right" w:pos="8306"/>
      </w:tabs>
      <w:snapToGrid w:val="0"/>
      <w:jc w:val="left"/>
    </w:pPr>
    <w:rPr>
      <w:sz w:val="18"/>
      <w:szCs w:val="18"/>
    </w:rPr>
  </w:style>
  <w:style w:type="paragraph" w:styleId="15">
    <w:name w:val="header"/>
    <w:basedOn w:val="1"/>
    <w:link w:val="32"/>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7">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8">
    <w:name w:val="Normal (Web)"/>
    <w:basedOn w:val="1"/>
    <w:autoRedefine/>
    <w:qFormat/>
    <w:uiPriority w:val="0"/>
    <w:pPr>
      <w:spacing w:before="100" w:beforeAutospacing="1" w:after="100" w:afterAutospacing="1"/>
      <w:jc w:val="left"/>
    </w:pPr>
    <w:rPr>
      <w:rFonts w:cs="Times New Roman"/>
      <w:kern w:val="0"/>
      <w:sz w:val="24"/>
    </w:rPr>
  </w:style>
  <w:style w:type="paragraph" w:styleId="19">
    <w:name w:val="index 1"/>
    <w:basedOn w:val="1"/>
    <w:next w:val="1"/>
    <w:autoRedefine/>
    <w:qFormat/>
    <w:uiPriority w:val="0"/>
    <w:pPr>
      <w:jc w:val="center"/>
    </w:pPr>
    <w:rPr>
      <w:rFonts w:ascii="Arial" w:hAnsi="Arial" w:eastAsia="Arial" w:cs="Arial"/>
      <w:b/>
      <w:bCs/>
      <w:sz w:val="28"/>
    </w:rPr>
  </w:style>
  <w:style w:type="paragraph" w:styleId="20">
    <w:name w:val="annotation subject"/>
    <w:basedOn w:val="8"/>
    <w:next w:val="8"/>
    <w:link w:val="55"/>
    <w:autoRedefine/>
    <w:semiHidden/>
    <w:unhideWhenUsed/>
    <w:qFormat/>
    <w:uiPriority w:val="99"/>
    <w:rPr>
      <w:rFonts w:ascii="@仿宋_GB2312" w:hAnsi="@仿宋_GB2312" w:eastAsia="@仿宋_GB2312" w:cs="@仿宋_GB2312"/>
      <w:b/>
      <w:bCs/>
    </w:rPr>
  </w:style>
  <w:style w:type="paragraph" w:styleId="21">
    <w:name w:val="Body Text First Indent"/>
    <w:basedOn w:val="2"/>
    <w:autoRedefine/>
    <w:unhideWhenUsed/>
    <w:qFormat/>
    <w:uiPriority w:val="99"/>
    <w:pPr>
      <w:ind w:firstLine="420" w:firstLineChars="100"/>
    </w:pPr>
  </w:style>
  <w:style w:type="table" w:styleId="23">
    <w:name w:val="Table Grid"/>
    <w:basedOn w:val="22"/>
    <w:autoRedefine/>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autoRedefine/>
    <w:qFormat/>
    <w:uiPriority w:val="0"/>
    <w:rPr>
      <w:b/>
      <w:bCs/>
    </w:rPr>
  </w:style>
  <w:style w:type="character" w:styleId="26">
    <w:name w:val="Hyperlink"/>
    <w:basedOn w:val="24"/>
    <w:autoRedefine/>
    <w:unhideWhenUsed/>
    <w:qFormat/>
    <w:uiPriority w:val="99"/>
    <w:rPr>
      <w:color w:val="0000FF" w:themeColor="hyperlink"/>
      <w:u w:val="single"/>
      <w14:textFill>
        <w14:solidFill>
          <w14:schemeClr w14:val="hlink"/>
        </w14:solidFill>
      </w14:textFill>
    </w:rPr>
  </w:style>
  <w:style w:type="character" w:styleId="27">
    <w:name w:val="annotation reference"/>
    <w:basedOn w:val="24"/>
    <w:autoRedefine/>
    <w:semiHidden/>
    <w:unhideWhenUsed/>
    <w:qFormat/>
    <w:uiPriority w:val="99"/>
    <w:rPr>
      <w:sz w:val="21"/>
      <w:szCs w:val="21"/>
    </w:rPr>
  </w:style>
  <w:style w:type="character" w:customStyle="1" w:styleId="28">
    <w:name w:val="批注框文本 字符"/>
    <w:basedOn w:val="24"/>
    <w:link w:val="13"/>
    <w:autoRedefine/>
    <w:semiHidden/>
    <w:qFormat/>
    <w:uiPriority w:val="99"/>
    <w:rPr>
      <w:rFonts w:ascii="@仿宋_GB2312" w:hAnsi="@仿宋_GB2312" w:eastAsia="@仿宋_GB2312" w:cs="@仿宋_GB2312"/>
      <w:sz w:val="18"/>
      <w:szCs w:val="18"/>
    </w:rPr>
  </w:style>
  <w:style w:type="paragraph" w:customStyle="1" w:styleId="29">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30">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31">
    <w:name w:val="D&amp;L"/>
    <w:basedOn w:val="15"/>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2">
    <w:name w:val="页眉 字符"/>
    <w:basedOn w:val="24"/>
    <w:link w:val="15"/>
    <w:autoRedefine/>
    <w:qFormat/>
    <w:uiPriority w:val="0"/>
    <w:rPr>
      <w:rFonts w:ascii="@仿宋_GB2312" w:hAnsi="@仿宋_GB2312" w:eastAsia="@仿宋_GB2312" w:cs="@仿宋_GB2312"/>
      <w:sz w:val="18"/>
      <w:szCs w:val="18"/>
    </w:rPr>
  </w:style>
  <w:style w:type="character" w:customStyle="1" w:styleId="33">
    <w:name w:val="页脚 字符"/>
    <w:basedOn w:val="24"/>
    <w:link w:val="14"/>
    <w:autoRedefine/>
    <w:qFormat/>
    <w:uiPriority w:val="99"/>
    <w:rPr>
      <w:rFonts w:ascii="@仿宋_GB2312" w:hAnsi="@仿宋_GB2312" w:eastAsia="@仿宋_GB2312" w:cs="@仿宋_GB2312"/>
      <w:sz w:val="18"/>
      <w:szCs w:val="18"/>
    </w:rPr>
  </w:style>
  <w:style w:type="character" w:customStyle="1" w:styleId="34">
    <w:name w:val="纯文本 字符"/>
    <w:link w:val="11"/>
    <w:autoRedefine/>
    <w:qFormat/>
    <w:uiPriority w:val="0"/>
    <w:rPr>
      <w:rFonts w:ascii="宋体" w:hAnsi="Courier New"/>
    </w:rPr>
  </w:style>
  <w:style w:type="character" w:customStyle="1" w:styleId="35">
    <w:name w:val="纯文本 字符1"/>
    <w:basedOn w:val="24"/>
    <w:autoRedefine/>
    <w:semiHidden/>
    <w:qFormat/>
    <w:uiPriority w:val="99"/>
    <w:rPr>
      <w:rFonts w:hAnsi="Courier New" w:cs="Courier New" w:asciiTheme="minorEastAsia"/>
      <w:szCs w:val="20"/>
    </w:rPr>
  </w:style>
  <w:style w:type="character" w:customStyle="1" w:styleId="36">
    <w:name w:val="未处理的提及1"/>
    <w:basedOn w:val="24"/>
    <w:autoRedefine/>
    <w:semiHidden/>
    <w:unhideWhenUsed/>
    <w:qFormat/>
    <w:uiPriority w:val="99"/>
    <w:rPr>
      <w:color w:val="605E5C"/>
      <w:shd w:val="clear" w:color="auto" w:fill="E1DFDD"/>
    </w:rPr>
  </w:style>
  <w:style w:type="paragraph" w:styleId="37">
    <w:name w:val="List Paragraph"/>
    <w:basedOn w:val="1"/>
    <w:autoRedefine/>
    <w:qFormat/>
    <w:uiPriority w:val="34"/>
    <w:pPr>
      <w:ind w:firstLine="420" w:firstLineChars="200"/>
    </w:pPr>
  </w:style>
  <w:style w:type="paragraph" w:customStyle="1" w:styleId="38">
    <w:name w:val="Char Char Char Char Char Char Char1 Char"/>
    <w:basedOn w:val="1"/>
    <w:autoRedefine/>
    <w:qFormat/>
    <w:uiPriority w:val="0"/>
    <w:rPr>
      <w:rFonts w:ascii="Arial" w:hAnsi="Arial" w:eastAsia="宋体" w:cs="Arial"/>
      <w:sz w:val="24"/>
    </w:rPr>
  </w:style>
  <w:style w:type="table" w:customStyle="1" w:styleId="39">
    <w:name w:val="网格表 1 浅色1"/>
    <w:basedOn w:val="22"/>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0">
    <w:name w:val="日期 字符"/>
    <w:basedOn w:val="24"/>
    <w:autoRedefine/>
    <w:semiHidden/>
    <w:qFormat/>
    <w:uiPriority w:val="99"/>
    <w:rPr>
      <w:rFonts w:ascii="@仿宋_GB2312" w:hAnsi="@仿宋_GB2312" w:eastAsia="@仿宋_GB2312" w:cs="@仿宋_GB2312"/>
      <w:szCs w:val="20"/>
    </w:rPr>
  </w:style>
  <w:style w:type="character" w:customStyle="1" w:styleId="41">
    <w:name w:val="日期 字符1"/>
    <w:link w:val="12"/>
    <w:autoRedefine/>
    <w:qFormat/>
    <w:uiPriority w:val="0"/>
    <w:rPr>
      <w:rFonts w:ascii="Arial" w:hAnsi="Arial" w:eastAsia="宋体" w:cs="Arial"/>
      <w:b/>
      <w:sz w:val="28"/>
      <w:szCs w:val="20"/>
    </w:rPr>
  </w:style>
  <w:style w:type="character" w:customStyle="1" w:styleId="42">
    <w:name w:val="纯文本 Char1"/>
    <w:autoRedefine/>
    <w:qFormat/>
    <w:locked/>
    <w:uiPriority w:val="99"/>
    <w:rPr>
      <w:rFonts w:ascii="Arial" w:hAnsi="Arial" w:eastAsia="Arial"/>
      <w:kern w:val="2"/>
      <w:sz w:val="21"/>
      <w:lang w:val="en-US" w:eastAsia="zh-CN" w:bidi="ar-SA"/>
    </w:rPr>
  </w:style>
  <w:style w:type="character" w:customStyle="1" w:styleId="43">
    <w:name w:val="批注文字 Char"/>
    <w:basedOn w:val="24"/>
    <w:autoRedefine/>
    <w:semiHidden/>
    <w:qFormat/>
    <w:uiPriority w:val="99"/>
    <w:rPr>
      <w:rFonts w:ascii="@仿宋_GB2312" w:hAnsi="@仿宋_GB2312" w:eastAsia="@仿宋_GB2312" w:cs="@仿宋_GB2312"/>
      <w:szCs w:val="20"/>
    </w:rPr>
  </w:style>
  <w:style w:type="character" w:customStyle="1" w:styleId="44">
    <w:name w:val="批注文字 字符"/>
    <w:link w:val="8"/>
    <w:autoRedefine/>
    <w:qFormat/>
    <w:uiPriority w:val="0"/>
    <w:rPr>
      <w:rFonts w:ascii="Arial" w:hAnsi="Arial" w:eastAsia="黑体" w:cs="Arial"/>
      <w:szCs w:val="20"/>
    </w:rPr>
  </w:style>
  <w:style w:type="character" w:customStyle="1" w:styleId="45">
    <w:name w:val="标题 1 字符"/>
    <w:basedOn w:val="24"/>
    <w:link w:val="3"/>
    <w:autoRedefine/>
    <w:qFormat/>
    <w:uiPriority w:val="9"/>
    <w:rPr>
      <w:rFonts w:ascii="@仿宋_GB2312" w:hAnsi="@仿宋_GB2312" w:eastAsia="@仿宋_GB2312" w:cs="@仿宋_GB2312"/>
      <w:b/>
      <w:bCs/>
      <w:kern w:val="44"/>
      <w:sz w:val="44"/>
      <w:szCs w:val="44"/>
    </w:rPr>
  </w:style>
  <w:style w:type="paragraph" w:customStyle="1" w:styleId="46">
    <w:name w:val="TOC 标题1"/>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7">
    <w:name w:val="标题 3 字符"/>
    <w:basedOn w:val="24"/>
    <w:link w:val="5"/>
    <w:autoRedefine/>
    <w:semiHidden/>
    <w:qFormat/>
    <w:uiPriority w:val="9"/>
    <w:rPr>
      <w:rFonts w:ascii="@仿宋_GB2312" w:hAnsi="@仿宋_GB2312" w:eastAsia="@仿宋_GB2312" w:cs="@仿宋_GB2312"/>
      <w:b/>
      <w:bCs/>
      <w:sz w:val="32"/>
      <w:szCs w:val="32"/>
    </w:rPr>
  </w:style>
  <w:style w:type="character" w:customStyle="1" w:styleId="48">
    <w:name w:val="fontstyle01"/>
    <w:basedOn w:val="24"/>
    <w:autoRedefine/>
    <w:qFormat/>
    <w:uiPriority w:val="0"/>
    <w:rPr>
      <w:rFonts w:hint="eastAsia" w:ascii="宋体" w:hAnsi="宋体" w:eastAsia="宋体"/>
      <w:color w:val="000000"/>
      <w:sz w:val="22"/>
      <w:szCs w:val="22"/>
    </w:rPr>
  </w:style>
  <w:style w:type="character" w:customStyle="1" w:styleId="49">
    <w:name w:val="fontstyle21"/>
    <w:basedOn w:val="24"/>
    <w:autoRedefine/>
    <w:qFormat/>
    <w:uiPriority w:val="0"/>
    <w:rPr>
      <w:rFonts w:hint="default" w:ascii="TimesNewRomanPSMT" w:hAnsi="TimesNewRomanPSMT"/>
      <w:color w:val="000000"/>
      <w:sz w:val="22"/>
      <w:szCs w:val="22"/>
    </w:rPr>
  </w:style>
  <w:style w:type="character" w:customStyle="1" w:styleId="50">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51">
    <w:name w:val="标题 4 字符"/>
    <w:basedOn w:val="24"/>
    <w:autoRedefine/>
    <w:semiHidden/>
    <w:qFormat/>
    <w:uiPriority w:val="9"/>
    <w:rPr>
      <w:rFonts w:asciiTheme="majorHAnsi" w:hAnsiTheme="majorHAnsi" w:eastAsiaTheme="majorEastAsia" w:cstheme="majorBidi"/>
      <w:b/>
      <w:bCs/>
      <w:sz w:val="28"/>
      <w:szCs w:val="28"/>
    </w:rPr>
  </w:style>
  <w:style w:type="character" w:customStyle="1" w:styleId="52">
    <w:name w:val="标题 4 字符1"/>
    <w:link w:val="6"/>
    <w:autoRedefine/>
    <w:qFormat/>
    <w:uiPriority w:val="0"/>
    <w:rPr>
      <w:rFonts w:ascii="@仿宋_GB2312" w:hAnsi="@仿宋_GB2312" w:eastAsia="@仿宋_GB2312" w:cs="@仿宋_GB2312"/>
      <w:b/>
      <w:bCs/>
      <w:sz w:val="28"/>
      <w:szCs w:val="28"/>
    </w:rPr>
  </w:style>
  <w:style w:type="character" w:customStyle="1" w:styleId="53">
    <w:name w:val="标题 4 Char"/>
    <w:autoRedefine/>
    <w:qFormat/>
    <w:uiPriority w:val="0"/>
    <w:rPr>
      <w:rFonts w:ascii="Arial" w:hAnsi="Arial" w:eastAsia="Arial"/>
      <w:b/>
      <w:bCs/>
      <w:kern w:val="2"/>
      <w:sz w:val="28"/>
      <w:szCs w:val="28"/>
      <w:lang w:val="en-US" w:eastAsia="zh-CN" w:bidi="ar-SA"/>
    </w:rPr>
  </w:style>
  <w:style w:type="table" w:customStyle="1" w:styleId="54">
    <w:name w:val="网格型1"/>
    <w:basedOn w:val="2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5">
    <w:name w:val="批注主题 字符"/>
    <w:basedOn w:val="44"/>
    <w:link w:val="20"/>
    <w:autoRedefine/>
    <w:semiHidden/>
    <w:qFormat/>
    <w:uiPriority w:val="99"/>
    <w:rPr>
      <w:rFonts w:ascii="@仿宋_GB2312" w:hAnsi="@仿宋_GB2312" w:eastAsia="@仿宋_GB2312" w:cs="@仿宋_GB2312"/>
      <w:b/>
      <w:bCs/>
      <w:szCs w:val="20"/>
    </w:rPr>
  </w:style>
  <w:style w:type="table" w:customStyle="1" w:styleId="56">
    <w:name w:val="Table Normal"/>
    <w:autoRedefine/>
    <w:semiHidden/>
    <w:unhideWhenUsed/>
    <w:qFormat/>
    <w:uiPriority w:val="0"/>
    <w:tblPr>
      <w:tblCellMar>
        <w:top w:w="0" w:type="dxa"/>
        <w:left w:w="0" w:type="dxa"/>
        <w:bottom w:w="0" w:type="dxa"/>
        <w:right w:w="0" w:type="dxa"/>
      </w:tblCellMar>
    </w:tblPr>
  </w:style>
  <w:style w:type="paragraph" w:customStyle="1" w:styleId="57">
    <w:name w:val="Table Text"/>
    <w:basedOn w:val="1"/>
    <w:autoRedefine/>
    <w:semiHidden/>
    <w:qFormat/>
    <w:uiPriority w:val="0"/>
    <w:rPr>
      <w:rFonts w:ascii="Arial" w:hAnsi="Arial" w:eastAsia="Arial" w:cs="Arial"/>
      <w:szCs w:val="21"/>
      <w:lang w:eastAsia="en-US"/>
    </w:rPr>
  </w:style>
  <w:style w:type="paragraph" w:customStyle="1" w:styleId="58">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59">
    <w:name w:val="列出段落1"/>
    <w:basedOn w:val="1"/>
    <w:autoRedefine/>
    <w:qFormat/>
    <w:uiPriority w:val="0"/>
    <w:pPr>
      <w:ind w:firstLine="420" w:firstLineChars="200"/>
    </w:pPr>
    <w:rPr>
      <w:szCs w:val="21"/>
    </w:rPr>
  </w:style>
  <w:style w:type="paragraph" w:customStyle="1" w:styleId="60">
    <w:name w:val="Default"/>
    <w:qFormat/>
    <w:uiPriority w:val="0"/>
    <w:pPr>
      <w:widowControl w:val="0"/>
      <w:autoSpaceDE w:val="0"/>
      <w:autoSpaceDN w:val="0"/>
      <w:adjustRightInd w:val="0"/>
    </w:pPr>
    <w:rPr>
      <w:rFonts w:ascii="MS Mincho" w:hAnsi="Times New Roman" w:eastAsia="MS Mincho" w:cs="MS Mincho"/>
      <w:color w:val="000000"/>
      <w:sz w:val="24"/>
      <w:szCs w:val="24"/>
      <w:lang w:val="en-US" w:eastAsia="zh-CN" w:bidi="ar-SA"/>
    </w:rPr>
  </w:style>
  <w:style w:type="character" w:customStyle="1" w:styleId="61">
    <w:name w:val="font21"/>
    <w:basedOn w:val="24"/>
    <w:qFormat/>
    <w:uiPriority w:val="0"/>
    <w:rPr>
      <w:rFonts w:hint="eastAsia" w:ascii="宋体" w:hAnsi="宋体" w:eastAsia="宋体"/>
      <w:color w:val="A7A7A7"/>
      <w:sz w:val="22"/>
      <w:szCs w:val="22"/>
      <w:u w:val="none"/>
    </w:rPr>
  </w:style>
  <w:style w:type="character" w:customStyle="1" w:styleId="62">
    <w:name w:val="font31"/>
    <w:basedOn w:val="24"/>
    <w:qFormat/>
    <w:uiPriority w:val="0"/>
    <w:rPr>
      <w:rFonts w:hint="eastAsia" w:ascii="宋体" w:hAnsi="宋体" w:eastAsia="宋体"/>
      <w:i/>
      <w:iCs/>
      <w:color w:val="333333"/>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60d4ef2f-b5d8-4701-b99f-cba6cc6985ab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3F8162DD</paraID>
      <start>0</start>
      <end>2</end>
      <status>ignored</status>
      <modifiedWord/>
      <trackRevisions>false</trackRevisions>
    </reviewItem>
    <reviewItem>
      <errorID>8cd1b4d4-ae33-4a86-8cba-c8d2cb40a7c2</errorID>
      <errorWord>；</errorWord>
      <group>L1_Grammar</group>
      <groupName>语法问题</groupName>
      <ability>L2_Collocation</ability>
      <abilityName>搭配不当</abilityName>
      <candidateList>
        <item>的证明；</item>
      </candidateList>
      <explain>句子中可能存在主谓、动宾、定语中心语、状语中心语、补语中心语、关联词搭配不当等问题。</explain>
      <paraID>3F8162DD</paraID>
      <start>28</start>
      <end>29</end>
      <status>ignored</status>
      <modifiedWord/>
      <trackRevisions>false</trackRevisions>
    </reviewItem>
    <reviewItem>
      <errorID>d39b4d07-03ac-4bca-af6b-8f80bad9b785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61BA88C2</paraID>
      <start>0</start>
      <end>2</end>
      <status>ignored</status>
      <modifiedWord/>
      <trackRevisions>false</trackRevisions>
    </reviewItem>
    <reviewItem>
      <errorID>bc5a7903-192e-4e36-9a9a-b5657aadb2c5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4C1D5776</paraID>
      <start>0</start>
      <end>2</end>
      <status>ignored</status>
      <modifiedWord/>
      <trackRevisions>false</trackRevisions>
    </reviewItem>
    <reviewItem>
      <errorID>016d9113-641f-4b3a-b26a-5df076afb2ac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1CB133AB</paraID>
      <start>0</start>
      <end>2</end>
      <status>ignored</status>
      <modifiedWord/>
      <trackRevisions>false</trackRevisions>
    </reviewItem>
    <reviewItem>
      <errorID>a16de25d-8a4c-48c6-9507-ae629897d9a9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1B8FFA7</paraID>
      <start>0</start>
      <end>2</end>
      <status>ignored</status>
      <modifiedWord/>
      <trackRevisions>false</trackRevisions>
    </reviewItem>
    <reviewItem>
      <errorID>58a1739f-ba5f-410b-8de7-8eded04cf3c1</errorID>
      <errorWord>或</errorWord>
      <group>L1_Grammar</group>
      <groupName>语法问题</groupName>
      <ability>L2_Order</ability>
      <abilityName>语序不当</abilityName>
      <candidateList>
        <item>召开或</item>
      </candidateList>
      <explain>句子可能没有遵循时空、逻辑顺序，或者介词、关联词等位置不当。</explain>
      <paraID>3C813A72</paraID>
      <start>5</start>
      <end>6</end>
      <status>ignored</status>
      <modifiedWord/>
      <trackRevisions>false</trackRevisions>
    </reviewItem>
    <reviewItem>
      <errorID>ae2d87ca-8d19-4248-8afb-2105e6ea91b4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27476AE3</paraID>
      <start>0</start>
      <end>2</end>
      <status>ignored</status>
      <modifiedWord/>
      <trackRevisions>false</trackRevisions>
    </reviewItem>
    <reviewItem>
      <errorID>edf85e09-b8fa-4b4f-91fd-92d08f0f9d6c</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439600D4</paraID>
      <start>35</start>
      <end>37</end>
      <status>modified</status>
      <modifiedWord>》《</modifiedWord>
      <trackRevisions>false</trackRevisions>
    </reviewItem>
    <reviewItem>
      <errorID>03ca1577-603b-4c0e-ba72-4cad6a3718fc</errorID>
      <errorWord>，</errorWord>
      <group>L1_Word</group>
      <groupName>字词问题</groupName>
      <ability>L2_Typo</ability>
      <abilityName>字词错误</abilityName>
      <candidateList>
        <item>，将</item>
      </candidateList>
      <explain/>
      <paraID>79B0FE79</paraID>
      <start>69</start>
      <end>70</end>
      <status>ignored</status>
      <modifiedWord/>
      <trackRevisions>false</trackRevisions>
    </reviewItem>
    <reviewItem>
      <errorID>97e548f2-9434-4c29-b470-12e2231c1c35</errorID>
      <errorWord>投标项的</errorWord>
      <group>L1_Word</group>
      <groupName>字词问题</groupName>
      <ability>L2_Typo</ability>
      <abilityName>字词错误</abilityName>
      <candidateList>
        <item>投标项目的</item>
      </candidateList>
      <explain/>
      <paraID> 933FA43</paraID>
      <start>53</start>
      <end>57</end>
      <status>unmodified</status>
      <modifiedWord/>
      <trackRevisions>false</trackRevisions>
    </reviewItem>
    <reviewItem>
      <errorID>062bf365-d57f-46a3-a25d-2b109e89542f</errorID>
      <errorWord>其它语言</errorWord>
      <group>L1_Word</group>
      <groupName>字词问题</groupName>
      <ability>L2_Alias</ability>
      <abilityName>也作/曾用词</abilityName>
      <candidateList>
        <item>其他语言</item>
      </candidateList>
      <explain>词汇[其它语言]为不规范表述或旧称，其规范书面表述为[其他语言]。</explain>
      <paraID>74A136C8</paraID>
      <start>60</start>
      <end>64</end>
      <status>unmodified</status>
      <modifiedWord/>
      <trackRevisions>false</trackRevisions>
    </reviewItem>
    <reviewItem>
      <errorID>83d0e666-e100-46ea-ab85-18753d42a608</errorID>
      <errorWord>(</errorWord>
      <group>L1_Format</group>
      <groupName>格式问题</groupName>
      <ability>L2_HalfPunc_CN</ability>
      <abilityName/>
      <candidateList>
        <item>（</item>
      </candidateList>
      <explain>文本全半角错误。</explain>
      <paraID>43E86E00</paraID>
      <start>32</start>
      <end>33</end>
      <status>unmodified</status>
      <modifiedWord/>
      <trackRevisions>false</trackRevisions>
    </reviewItem>
    <reviewItem>
      <errorID>7625c8de-ae11-4217-9552-4975eff549ab</errorID>
      <errorWord>)</errorWord>
      <group>L1_Format</group>
      <groupName>格式问题</groupName>
      <ability>L2_HalfPunc_CN</ability>
      <abilityName/>
      <candidateList>
        <item>）</item>
      </candidateList>
      <explain>文本全半角错误。</explain>
      <paraID>43E86E00</paraID>
      <start>55</start>
      <end>56</end>
      <status>unmodified</status>
      <modifiedWord/>
      <trackRevisions>false</trackRevisions>
    </reviewItem>
    <reviewItem>
      <errorID>2814ef68-d9df-4628-a0a0-2c848e4a4fcb</errorID>
      <errorWord>(</errorWord>
      <group>L1_Format</group>
      <groupName>格式问题</groupName>
      <ability>L2_HalfPunc_CN</ability>
      <abilityName/>
      <candidateList>
        <item>（</item>
      </candidateList>
      <explain>文本全半角错误。</explain>
      <paraID>43E86E00</paraID>
      <start>63</start>
      <end>64</end>
      <status>unmodified</status>
      <modifiedWord/>
      <trackRevisions>false</trackRevisions>
    </reviewItem>
    <reviewItem>
      <errorID>5505f864-d0a3-4948-9726-e88ee640275e</errorID>
      <errorWord>)</errorWord>
      <group>L1_Format</group>
      <groupName>格式问题</groupName>
      <ability>L2_HalfPunc_CN</ability>
      <abilityName/>
      <candidateList>
        <item>）</item>
      </candidateList>
      <explain>文本全半角错误。</explain>
      <paraID>43E86E00</paraID>
      <start>79</start>
      <end>80</end>
      <status>unmodified</status>
      <modifiedWord/>
      <trackRevisions>false</trackRevisions>
    </reviewItem>
    <reviewItem>
      <errorID>27dedcae-1bd4-475e-a516-33c20326ef50</errorID>
      <errorWord>(</errorWord>
      <group>L1_Format</group>
      <groupName>格式问题</groupName>
      <ability>L2_HalfPunc_CN</ability>
      <abilityName/>
      <candidateList>
        <item>（</item>
      </candidateList>
      <explain>文本全半角错误。</explain>
      <paraID>43E86E00</paraID>
      <start>117</start>
      <end>118</end>
      <status>unmodified</status>
      <modifiedWord/>
      <trackRevisions>false</trackRevisions>
    </reviewItem>
    <reviewItem>
      <errorID>efd21221-272d-4a96-8a14-e07b4f545c63</errorID>
      <errorWord>)</errorWord>
      <group>L1_Format</group>
      <groupName>格式问题</groupName>
      <ability>L2_HalfPunc_CN</ability>
      <abilityName/>
      <candidateList>
        <item>）</item>
      </candidateList>
      <explain>文本全半角错误。</explain>
      <paraID>43E86E00</paraID>
      <start>140</start>
      <end>141</end>
      <status>unmodified</status>
      <modifiedWord/>
      <trackRevisions>false</trackRevisions>
    </reviewItem>
    <reviewItem>
      <errorID>42b8f567-9e3e-4e9c-af59-ed5aafaeca44</errorID>
      <errorWord>(</errorWord>
      <group>L1_Format</group>
      <groupName>格式问题</groupName>
      <ability>L2_HalfPunc_CN</ability>
      <abilityName/>
      <candidateList>
        <item>（</item>
      </candidateList>
      <explain>文本全半角错误。</explain>
      <paraID>43E86E00</paraID>
      <start>170</start>
      <end>171</end>
      <status>unmodified</status>
      <modifiedWord/>
      <trackRevisions>false</trackRevisions>
    </reviewItem>
    <reviewItem>
      <errorID>03956369-05d9-43d6-9df3-efc2c37ca870</errorID>
      <errorWord>)</errorWord>
      <group>L1_Format</group>
      <groupName>格式问题</groupName>
      <ability>L2_HalfPunc_CN</ability>
      <abilityName/>
      <candidateList>
        <item>）</item>
      </candidateList>
      <explain>文本全半角错误。</explain>
      <paraID>43E86E00</paraID>
      <start>186</start>
      <end>187</end>
      <status>unmodified</status>
      <modifiedWord/>
      <trackRevisions>false</trackRevisions>
    </reviewItem>
    <reviewItem>
      <errorID>6873f80e-8745-41eb-895e-25e61f67c9b7</errorID>
      <errorWord>作必要</errorWord>
      <group>L1_Word</group>
      <groupName>字词问题</groupName>
      <ability>L2_Typo</ability>
      <abilityName>字词错误</abilityName>
      <candidateList>
        <item>做必要</item>
      </candidateList>
      <explain/>
      <paraID>4230059F</paraID>
      <start>134</start>
      <end>137</end>
      <status>unmodified</status>
      <modifiedWord/>
      <trackRevisions>false</trackRevisions>
    </reviewItem>
    <reviewItem>
      <errorID>7cf3dff1-47af-4ac3-83f7-0f230ba318d2</errorID>
      <errorWord>法律、法规</errorWord>
      <group>L1_Word</group>
      <groupName>字词问题</groupName>
      <ability>L2_Typo</ability>
      <abilityName>字词错误</abilityName>
      <candidateList>
        <item>法律法规</item>
      </candidateList>
      <explain/>
      <paraID>2A404C15</paraID>
      <start>3</start>
      <end>8</end>
      <status>unmodified</status>
      <modifiedWord/>
      <trackRevisions>false</trackRevisions>
    </reviewItem>
    <reviewItem>
      <errorID>8fe389df-b9e3-4a18-8726-078890df8d6d</errorID>
      <errorWord>作</errorWord>
      <group>L1_Word</group>
      <groupName>字词问题</groupName>
      <ability>L2_Typo</ability>
      <abilityName>字词错误</abilityName>
      <candidateList>
        <item>做</item>
      </candidateList>
      <explain>存在发音相同字词的误用。</explain>
      <paraID>27A8248B</paraID>
      <start>47</start>
      <end>48</end>
      <status>unmodified</status>
      <modifiedWord/>
      <trackRevisions>false</trackRevisions>
    </reviewItem>
    <reviewItem>
      <errorID>00595587-69c0-4ec3-9b89-1b42c45102c6</errorID>
      <errorWord>人</errorWord>
      <group>L1_Word</group>
      <groupName>字词问题</groupName>
      <ability>L2_Typo</ability>
      <abilityName>字词错误</abilityName>
      <candidateList>
        <item>人在</item>
      </candidateList>
      <explain/>
      <paraID>4A1D12CE</paraID>
      <start>6</start>
      <end>7</end>
      <status>unmodified</status>
      <modifiedWord/>
      <trackRevisions>false</trackRevisions>
    </reviewItem>
    <reviewItem>
      <errorID>20907ca0-3010-4044-bfb4-648c67b46940</errorID>
      <errorWord>人面</errorWord>
      <group>L1_Word</group>
      <groupName>字词问题</groupName>
      <ability>L2_Typo</ability>
      <abilityName>字词错误</abilityName>
      <candidateList>
        <item>人</item>
      </candidateList>
      <explain>〈名〉❶能制造工具并使用工具进行劳动的高等动物：男～｜女～｜～们｜～类。❷每人；一般人：～手一册｜～所共知。❸指成年人：长大成～。❹指某种人：工～｜军～｜主～｜介绍～。❺别人：～云亦云｜待～诚恳。❻指人的品质、性格或名誉：丢～｜这个同志～很好｜他～老实。❼指人的身体或意识：这两天～不大舒服｜送到医院～已经昏迷过去了。</explain>
      <paraID>15E959AC</paraID>
      <start>40</start>
      <end>42</end>
      <status>unmodified</status>
      <modifiedWord/>
      <trackRevisions>false</trackRevisions>
    </reviewItem>
    <reviewItem>
      <errorID>de0dab2a-a5f6-415f-a841-e3fb796f999a</errorID>
      <errorWord>部份</errorWord>
      <group>L1_Word</group>
      <groupName>字词问题</groupName>
      <ability>L2_Typo</ability>
      <abilityName>字词错误</abilityName>
      <candidateList>
        <item>部分</item>
      </candidateList>
      <explain>〈名〉整体中的局部；整体里的一些个体：检验机器各～的性能｜我校～师生参加了夏令营活动。</explain>
      <paraID>141A26ED</paraID>
      <start>3</start>
      <end>5</end>
      <status>unmodified</status>
      <modifiedWord/>
      <trackRevisions>false</trackRevisions>
    </reviewItem>
    <reviewItem>
      <errorID>120b947d-8259-484e-b0f5-4281e928e690</errorID>
      <errorWord>(</errorWord>
      <group>L1_Format</group>
      <groupName>格式问题</groupName>
      <ability>L2_HalfPunc_CN</ability>
      <abilityName/>
      <candidateList>
        <item>（</item>
      </candidateList>
      <explain>文本全半角错误。</explain>
      <paraID>4A53FD8E</paraID>
      <start>8</start>
      <end>9</end>
      <status>unmodified</status>
      <modifiedWord/>
      <trackRevisions>false</trackRevisions>
    </reviewItem>
    <reviewItem>
      <errorID>8b7bca8e-d591-4c2c-8d3f-0b8f9fe6c689</errorID>
      <errorWord>)</errorWord>
      <group>L1_Format</group>
      <groupName>格式问题</groupName>
      <ability>L2_HalfPunc_CN</ability>
      <abilityName/>
      <candidateList>
        <item>）</item>
      </candidateList>
      <explain>文本全半角错误。</explain>
      <paraID>4A53FD8E</paraID>
      <start>22</start>
      <end>23</end>
      <status>unmodified</status>
      <modifiedWord/>
      <trackRevisions>false</trackRevisions>
    </reviewItem>
    <reviewItem>
      <errorID>17c23973-1881-4b65-b2b3-ba5fa5bb71eb</errorID>
      <errorWord>部份</errorWord>
      <group>L1_Word</group>
      <groupName>字词问题</groupName>
      <ability>L2_Typo</ability>
      <abilityName>字词错误</abilityName>
      <candidateList>
        <item>部分</item>
      </candidateList>
      <explain>〈名〉整体中的局部；整体里的一些个体：检验机器各～的性能｜我校～师生参加了夏令营活动。</explain>
      <paraID>1BD0FC3B</paraID>
      <start>2</start>
      <end>4</end>
      <status>unmodified</status>
      <modifiedWord/>
      <trackRevisions>false</trackRevisions>
    </reviewItem>
    <reviewItem>
      <errorID>9829b042-4f49-4fa0-844e-212ac77fe70d</errorID>
      <errorWord>:</errorWord>
      <group>L1_Format</group>
      <groupName>格式问题</groupName>
      <ability>L2_HalfPunc_CN</ability>
      <abilityName/>
      <candidateList>
        <item>：</item>
      </candidateList>
      <explain>文本全半角错误。</explain>
      <paraID>588EC936</paraID>
      <start>6</start>
      <end>7</end>
      <status>unmodified</status>
      <modifiedWord/>
      <trackRevisions>false</trackRevisions>
    </reviewItem>
    <reviewItem>
      <errorID>dd6320e3-a349-4756-884e-17e5fa56b5aa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5D285469</paraID>
      <start>0</start>
      <end>2</end>
      <status>unmodified</status>
      <modifiedWord/>
      <trackRevisions>false</trackRevisions>
    </reviewItem>
    <reviewItem>
      <errorID>0c509202-b6e3-4b9e-a8a3-3ecbea0b662f</errorID>
      <errorWord>2、</errorWord>
      <group>L1_Format</group>
      <groupName>格式问题</groupName>
      <ability>L2_Ordinal</ability>
      <abilityName>序号格式</abilityName>
      <candidateList>
        <item>2.</item>
      </candidateList>
      <explain>当前序号格式不规范，建议修改为规范格式[2.]。</explain>
      <paraID>4F5786D3</paraID>
      <start>0</start>
      <end>2</end>
      <status>unmodified</status>
      <modifiedWord/>
      <trackRevisions>false</trackRevisions>
    </reviewItem>
    <reviewItem>
      <errorID>ad995c50-12d1-4d9d-9d1a-2a558eac5949</errorID>
      <errorWord>，</errorWord>
      <group>L1_Word</group>
      <groupName>字词问题</groupName>
      <ability>L2_Typo</ability>
      <abilityName>字词错误</abilityName>
      <candidateList>
        <item>，以</item>
      </candidateList>
      <explain/>
      <paraID>5FC2B247</paraID>
      <start>123</start>
      <end>124</end>
      <status>unmodified</status>
      <modifiedWord/>
      <trackRevisions>false</trackRevisions>
    </reviewItem>
    <reviewItem>
      <errorID>ed590bdb-3b9e-47e4-85f2-72f82e9d68ce</errorID>
      <errorWord>)</errorWord>
      <group>L1_Format</group>
      <groupName>格式问题</groupName>
      <ability>L2_HalfPunc_CN</ability>
      <abilityName/>
      <candidateList>
        <item>）</item>
      </candidateList>
      <explain>文本全半角错误。</explain>
      <paraID>5FC2B247</paraID>
      <start>145</start>
      <end>146</end>
      <status>unmodified</status>
      <modifiedWord/>
      <trackRevisions>false</trackRevisions>
    </reviewItem>
    <reviewItem>
      <errorID>db9fd9d4-a638-4da5-b798-fb65dcffa0ab</errorID>
      <errorWord>)</errorWord>
      <group>L1_Format</group>
      <groupName>格式问题</groupName>
      <ability>L2_HalfPunc_CN</ability>
      <abilityName/>
      <candidateList>
        <item>）</item>
      </candidateList>
      <explain>文本全半角错误。</explain>
      <paraID>5FC2B247</paraID>
      <start>190</start>
      <end>191</end>
      <status>unmodified</status>
      <modifiedWord/>
      <trackRevisions>false</trackRevisions>
    </reviewItem>
    <reviewItem>
      <errorID>e10cad88-8b94-4f92-8af7-e69a1d48e7b5</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13DF2123</paraID>
      <start>9</start>
      <end>11</end>
      <status>unmodified</status>
      <modifiedWord/>
      <trackRevisions>false</trackRevisions>
    </reviewItem>
    <reviewItem>
      <errorID>ca81336b-4d29-4086-ac28-ca5d222a1b45</errorID>
      <errorWord>,</errorWord>
      <group>L1_Format</group>
      <groupName>格式问题</groupName>
      <ability>L2_HalfPunc_CN</ability>
      <abilityName/>
      <candidateList>
        <item>，</item>
      </candidateList>
      <explain>文本全半角错误。</explain>
      <paraID>6572E23C</paraID>
      <start>17</start>
      <end>18</end>
      <status>unmodified</status>
      <modifiedWord/>
      <trackRevisions>false</trackRevisions>
    </reviewItem>
    <reviewItem>
      <errorID>5c0c538a-8562-45df-be36-13962bb1d1ef</errorID>
      <errorWord>粘结性</errorWord>
      <group>L1_Word</group>
      <groupName>字词问题</groupName>
      <ability>L2_Typo</ability>
      <abilityName>字词错误</abilityName>
      <candidateList>
        <item>黏结性</item>
      </candidateList>
      <explain>存在发音相同字词的误用。</explain>
      <paraID>447FA1EE</paraID>
      <start>0</start>
      <end>3</end>
      <status>unmodified</status>
      <modifiedWord/>
      <trackRevisions>false</trackRevisions>
    </reviewItem>
    <reviewItem>
      <errorID>48f09f3a-04d9-48e7-a1d2-e0e52e310e75</errorID>
      <errorWord>40%-60%</errorWord>
      <group>L1_Knowledge</group>
      <groupName>知识性问题</groupName>
      <ability>L2_Knowledge</ability>
      <abilityName>其他知识</abilityName>
      <candidateList>
        <item>40%—60%</item>
      </candidateList>
      <explain>1. “40%-60%”中的单位“%”仅出现在后一个数字上，容易引起歧义；根据《现代汉语标点符号数字用法规范手册》，数字表示范围两边需要使用统一的格式。2. 根据标点国标 4.13 中的规则，数字、时间或地域连接符应使用（视觉上更长的）“—”或“～”。</explain>
      <paraID>6F740C9D</paraID>
      <start>32</start>
      <end>39</end>
      <status>unmodified</status>
      <modifiedWord/>
      <trackRevisions>false</trackRevisions>
    </reviewItem>
    <reviewItem>
      <errorID>035a9964-43ce-434a-a7d8-84c621d5482b</errorID>
      <errorWord>标准标准</errorWord>
      <group>L1_Word</group>
      <groupName>字词问题</groupName>
      <ability>L2_Typo</ability>
      <abilityName>字词错误</abilityName>
      <candidateList>
        <item>标准</item>
      </candidateList>
      <explain>❶〈名〉衡量事物的准则：技术～｜实践是检验真理的唯一～。❷〈形〉本身合于准则，可供同类事物比较核对的：～音｜～时｜她的发音很～。</explain>
      <paraID> 62FE22C</paraID>
      <start>14</start>
      <end>18</end>
      <status>unmodified</status>
      <modifiedWord/>
      <trackRevisions>false</trackRevisions>
    </reviewItem>
    <reviewItem>
      <errorID>69df65ea-13c9-4363-a80f-51ad7b6f8120</errorID>
      <errorWord>(</errorWord>
      <group>L1_Format</group>
      <groupName>格式问题</groupName>
      <ability>L2_HalfPunc_CN</ability>
      <abilityName/>
      <candidateList>
        <item>（</item>
      </candidateList>
      <explain>文本全半角错误。</explain>
      <paraID>17E1E1B2</paraID>
      <start>106</start>
      <end>107</end>
      <status>unmodified</status>
      <modifiedWord/>
      <trackRevisions>false</trackRevisions>
    </reviewItem>
    <reviewItem>
      <errorID>202ecea9-412f-439e-bf5a-2bc38603dcae</errorID>
      <errorWord>)</errorWord>
      <group>L1_Format</group>
      <groupName>格式问题</groupName>
      <ability>L2_HalfPunc_CN</ability>
      <abilityName/>
      <candidateList>
        <item>）</item>
      </candidateList>
      <explain>文本全半角错误。</explain>
      <paraID>17E1E1B2</paraID>
      <start>205</start>
      <end>206</end>
      <status>unmodified</status>
      <modifiedWord/>
      <trackRevisions>false</trackRevisions>
    </reviewItem>
    <reviewItem>
      <errorID>6da2dca5-79d8-4065-91e5-0f5f84625a45</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4F57DB40</paraID>
      <start>61</start>
      <end>62</end>
      <status>unmodified</status>
      <modifiedWord/>
      <trackRevisions>false</trackRevisions>
    </reviewItem>
    <reviewItem>
      <errorID>6ca49d01-1228-4a78-b37c-a552336c4e3c</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4F57DB40</paraID>
      <start>70</start>
      <end>71</end>
      <status>unmodified</status>
      <modifiedWord/>
      <trackRevisions>false</trackRevisions>
    </reviewItem>
    <reviewItem>
      <errorID>2d4f987e-f0bc-4c9f-b0de-51b402d59bcc</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7016950C</paraID>
      <start>91</start>
      <end>92</end>
      <status>unmodified</status>
      <modifiedWord/>
      <trackRevisions>false</trackRevisions>
    </reviewItem>
    <reviewItem>
      <errorID>adf7b16d-d4ab-4401-bf11-8156e385a0d1</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7016950C</paraID>
      <start>100</start>
      <end>101</end>
      <status>unmodified</status>
      <modifiedWord/>
      <trackRevisions>false</trackRevisions>
    </reviewItem>
    <reviewItem>
      <errorID>d98dead9-e1d1-4d43-9560-fbd1dfd2d878</errorID>
      <errorWord>宁波</errorWord>
      <group>L1_Word</group>
      <groupName>字词问题</groupName>
      <ability>L2_Typo</ability>
      <abilityName>字词错误</abilityName>
      <candidateList>
        <item>波</item>
      </candidateList>
      <explain/>
      <paraID> 582A3FD</paraID>
      <start>6</start>
      <end>8</end>
      <status>unmodified</status>
      <modifiedWord/>
      <trackRevisions>false</trackRevisions>
    </reviewItem>
    <reviewItem>
      <errorID>a680b2cf-3518-416c-8eca-4beab808c6c9</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25D40145</paraID>
      <start>13</start>
      <end>16</end>
      <status>unmodified</status>
      <modifiedWord/>
      <trackRevisions>false</trackRevisions>
    </reviewItem>
    <reviewItem>
      <errorID>e9da05d7-e22c-4dce-8cef-a6b8637b6c57</errorID>
      <errorWord>下</errorWord>
      <group>L1_Word</group>
      <groupName>字词问题</groupName>
      <ability>L2_Typo</ability>
      <abilityName>字词错误</abilityName>
      <candidateList>
        <item>下简</item>
      </candidateList>
      <explain/>
      <paraID>1F0D436C</paraID>
      <start>8</start>
      <end>9</end>
      <status>unmodified</status>
      <modifiedWord/>
      <trackRevisions>false</trackRevisions>
    </reviewItem>
    <reviewItem>
      <errorID>9e4d8058-7a98-47e7-8ce7-6865b00b4235</errorID>
      <errorWord>下</errorWord>
      <group>L1_Word</group>
      <groupName>字词问题</groupName>
      <ability>L2_Typo</ability>
      <abilityName>字词错误</abilityName>
      <candidateList>
        <item>下简</item>
      </candidateList>
      <explain/>
      <paraID>5AE05BE0</paraID>
      <start>8</start>
      <end>9</end>
      <status>unmodified</status>
      <modifiedWord/>
      <trackRevisions>false</trackRevisions>
    </reviewItem>
    <reviewItem>
      <errorID>69d4f183-f97c-4dd0-b24a-f6782929f188</errorID>
      <errorWord>其</errorWord>
      <group>L1_Word</group>
      <groupName>字词问题</groupName>
      <ability>L2_Typo</ability>
      <abilityName>字词错误</abilityName>
      <candidateList>
        <item>其他</item>
      </candidateList>
      <explain>〈代〉指示代词。别的：今天的文娱晚会，除了京剧、曲艺以外，还有～精彩节目。</explain>
      <paraID>7D74A1B9</paraID>
      <start>57</start>
      <end>58</end>
      <status>unmodified</status>
      <modifiedWord/>
      <trackRevisions>false</trackRevisions>
    </reviewItem>
    <reviewItem>
      <errorID>41a27ac3-0d74-4e85-b2c5-e39a1fab1033</errorID>
      <errorWord>应</errorWord>
      <group>L1_Word</group>
      <groupName>字词问题</groupName>
      <ability>L2_Typo</ability>
      <abilityName>字词错误</abilityName>
      <candidateList>
        <item>应当</item>
      </candidateList>
      <explain/>
      <paraID>4B2033F5</paraID>
      <start>34</start>
      <end>35</end>
      <status>unmodified</status>
      <modifiedWord/>
      <trackRevisions>false</trackRevisions>
    </reviewItem>
    <reviewItem>
      <errorID>3ff9b171-57c5-4a6c-a4fa-28efa6f1bd24</errorID>
      <errorWord>作</errorWord>
      <group>L1_Word</group>
      <groupName>字词问题</groupName>
      <ability>L2_Typo</ability>
      <abilityName>字词错误</abilityName>
      <candidateList>
        <item>做</item>
      </candidateList>
      <explain>存在发音相同字词的误用。</explain>
      <paraID>1EA14421</paraID>
      <start>4</start>
      <end>5</end>
      <status>unmodified</status>
      <modifiedWord/>
      <trackRevisions>false</trackRevisions>
    </reviewItem>
    <reviewItem>
      <errorID>249bbc98-b5af-440f-9a02-7e7a6ff56664</errorID>
      <errorWord>,</errorWord>
      <group>L1_Format</group>
      <groupName>格式问题</groupName>
      <ability>L2_HalfPunc_CN</ability>
      <abilityName/>
      <candidateList>
        <item>，</item>
      </candidateList>
      <explain>文本全半角错误。</explain>
      <paraID>442BA2A5</paraID>
      <start>26</start>
      <end>27</end>
      <status>unmodified</status>
      <modifiedWord/>
      <trackRevisions>false</trackRevisions>
    </reviewItem>
    <reviewItem>
      <errorID>558f6245-fe9a-4008-86f8-cbfe8403d377</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74E00E44</paraID>
      <start>0</start>
      <end>2</end>
      <status>unmodified</status>
      <modifiedWord/>
      <trackRevisions>false</trackRevisions>
    </reviewItem>
    <reviewItem>
      <errorID>5d73699e-5ef7-4551-91d9-d2790352b6d6</errorID>
      <errorWord>程</errorWord>
      <group>L1_Word</group>
      <groupName>字词问题</groupName>
      <ability>L2_Typo</ability>
      <abilityName>字词错误</abilityName>
      <candidateList>
        <item>程中</item>
      </candidateList>
      <explain/>
      <paraID>61E0842E</paraID>
      <start>70</start>
      <end>71</end>
      <status>unmodified</status>
      <modifiedWord/>
      <trackRevisions>false</trackRevisions>
    </reviewItem>
    <reviewItem>
      <errorID>61ddc2c4-d200-4cca-a707-79c5012298e8</errorID>
      <errorWord>接</errorWord>
      <group>L1_Word</group>
      <groupName>字词问题</groupName>
      <ability>L2_Typo</ability>
      <abilityName>字词错误</abilityName>
      <candidateList>
        <item>接到</item>
      </candidateList>
      <explain/>
      <paraID>7EF92E19</paraID>
      <start>11</start>
      <end>12</end>
      <status>unmodified</status>
      <modifiedWord/>
      <trackRevisions>false</trackRevisions>
    </reviewItem>
    <reviewItem>
      <errorID>64cdab38-7037-4ffb-be61-9fdc8fa1b926</errorID>
      <errorWord>部份</errorWord>
      <group>L1_Word</group>
      <groupName>字词问题</groupName>
      <ability>L2_Typo</ability>
      <abilityName>字词错误</abilityName>
      <candidateList>
        <item>部分</item>
      </candidateList>
      <explain>〈名〉整体中的局部；整体里的一些个体：检验机器各～的性能｜我校～师生参加了夏令营活动。</explain>
      <paraID>50DDFC4A</paraID>
      <start>3</start>
      <end>5</end>
      <status>unmodified</status>
      <modifiedWord/>
      <trackRevisions>false</trackRevisions>
    </reviewItem>
    <reviewItem>
      <errorID>9af90142-ea0e-40c7-b3ae-0325def19a5d</errorID>
      <errorWord>(</errorWord>
      <group>L1_Format</group>
      <groupName>格式问题</groupName>
      <ability>L2_HalfPunc_CN</ability>
      <abilityName/>
      <candidateList>
        <item>（</item>
      </candidateList>
      <explain>文本全半角错误。</explain>
      <paraID>6F248C14</paraID>
      <start>8</start>
      <end>9</end>
      <status>unmodified</status>
      <modifiedWord/>
      <trackRevisions>false</trackRevisions>
    </reviewItem>
    <reviewItem>
      <errorID>73ff5fd9-c0b1-4df7-bd7b-2384fdf17c1e</errorID>
      <errorWord>)</errorWord>
      <group>L1_Format</group>
      <groupName>格式问题</groupName>
      <ability>L2_HalfPunc_CN</ability>
      <abilityName/>
      <candidateList>
        <item>）</item>
      </candidateList>
      <explain>文本全半角错误。</explain>
      <paraID>6F248C14</paraID>
      <start>22</start>
      <end>23</end>
      <status>unmodified</status>
      <modifiedWord/>
      <trackRevisions>false</trackRevisions>
    </reviewItem>
    <reviewItem>
      <errorID>70a5bb95-b28f-43d9-afef-f03bb4dd5f44</errorID>
      <errorWord>部份</errorWord>
      <group>L1_Word</group>
      <groupName>字词问题</groupName>
      <ability>L2_Typo</ability>
      <abilityName>字词错误</abilityName>
      <candidateList>
        <item>部分</item>
      </candidateList>
      <explain>〈名〉整体中的局部；整体里的一些个体：检验机器各～的性能｜我校～师生参加了夏令营活动。</explain>
      <paraID>7D87B5A3</paraID>
      <start>2</start>
      <end>4</end>
      <status>unmodified</status>
      <modifiedWord/>
      <trackRevisions>false</trackRevisions>
    </reviewItem>
    <reviewItem>
      <errorID>a96fba0d-545e-4a5e-bdd6-93f4df4d093b</errorID>
      <errorWord>:</errorWord>
      <group>L1_Format</group>
      <groupName>格式问题</groupName>
      <ability>L2_HalfPunc_CN</ability>
      <abilityName/>
      <candidateList>
        <item>：</item>
      </candidateList>
      <explain>文本全半角错误。</explain>
      <paraID>52A842AC</paraID>
      <start>6</start>
      <end>7</end>
      <status>unmodified</status>
      <modifiedWord/>
      <trackRevisions>false</trackRevisions>
    </reviewItem>
    <reviewItem>
      <errorID>ae4d6ded-1822-4312-8ef8-aa64f20b28c6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69E7C12A</paraID>
      <start>0</start>
      <end>2</end>
      <status>unmodified</status>
      <modifiedWord/>
      <trackRevisions>false</trackRevisions>
    </reviewItem>
    <reviewItem>
      <errorID>4d88ed0f-6f94-4f37-adc8-bce81517ce14</errorID>
      <errorWord>2、</errorWord>
      <group>L1_Format</group>
      <groupName>格式问题</groupName>
      <ability>L2_Ordinal</ability>
      <abilityName>序号格式</abilityName>
      <candidateList>
        <item>2.</item>
      </candidateList>
      <explain>当前序号格式不规范，建议修改为规范格式[2.]。</explain>
      <paraID>47126C1B</paraID>
      <start>0</start>
      <end>2</end>
      <status>unmodified</status>
      <modifiedWord/>
      <trackRevisions>false</trackRevisions>
    </reviewItem>
    <reviewItem>
      <errorID>70e2cf8a-6d2d-410a-904e-5eadf5780375</errorID>
      <errorWord>，</errorWord>
      <group>L1_Word</group>
      <groupName>字词问题</groupName>
      <ability>L2_Typo</ability>
      <abilityName>字词错误</abilityName>
      <candidateList>
        <item>，以</item>
      </candidateList>
      <explain/>
      <paraID>3C38679D</paraID>
      <start>123</start>
      <end>124</end>
      <status>unmodified</status>
      <modifiedWord/>
      <trackRevisions>false</trackRevisions>
    </reviewItem>
    <reviewItem>
      <errorID>4c7f2e91-82ea-4326-8791-d68b4b7f34e0</errorID>
      <errorWord>)</errorWord>
      <group>L1_Format</group>
      <groupName>格式问题</groupName>
      <ability>L2_HalfPunc_CN</ability>
      <abilityName/>
      <candidateList>
        <item>）</item>
      </candidateList>
      <explain>文本全半角错误。</explain>
      <paraID>3C38679D</paraID>
      <start>145</start>
      <end>146</end>
      <status>unmodified</status>
      <modifiedWord/>
      <trackRevisions>false</trackRevisions>
    </reviewItem>
    <reviewItem>
      <errorID>19c1b94e-a36c-4830-9350-c7a0977f5924</errorID>
      <errorWord>)</errorWord>
      <group>L1_Format</group>
      <groupName>格式问题</groupName>
      <ability>L2_HalfPunc_CN</ability>
      <abilityName/>
      <candidateList>
        <item>）</item>
      </candidateList>
      <explain>文本全半角错误。</explain>
      <paraID>3C38679D</paraID>
      <start>190</start>
      <end>191</end>
      <status>unmodified</status>
      <modifiedWord/>
      <trackRevisions>false</trackRevisions>
    </reviewItem>
    <reviewItem>
      <errorID>4bacb746-6f98-49dc-8867-e199f5fdea2a</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7E59C5E8</paraID>
      <start>9</start>
      <end>11</end>
      <status>unmodified</status>
      <modifiedWord/>
      <trackRevisions>false</trackRevisions>
    </reviewItem>
    <reviewItem>
      <errorID>ca1a0f68-0c29-4182-99f7-7da2d12537a4</errorID>
      <errorWord>,</errorWord>
      <group>L1_Format</group>
      <groupName>格式问题</groupName>
      <ability>L2_HalfPunc_CN</ability>
      <abilityName/>
      <candidateList>
        <item>，</item>
      </candidateList>
      <explain>文本全半角错误。</explain>
      <paraID>696B38AD</paraID>
      <start>17</start>
      <end>18</end>
      <status>unmodified</status>
      <modifiedWord/>
      <trackRevisions>false</trackRevisions>
    </reviewItem>
    <reviewItem>
      <errorID>e599dba2-e133-46de-9f2d-2b36513b1fc0</errorID>
      <errorWord>粘结性</errorWord>
      <group>L1_Word</group>
      <groupName>字词问题</groupName>
      <ability>L2_Typo</ability>
      <abilityName>字词错误</abilityName>
      <candidateList>
        <item>黏结性</item>
      </candidateList>
      <explain>存在发音相同字词的误用。</explain>
      <paraID>6F680DE7</paraID>
      <start>0</start>
      <end>3</end>
      <status>unmodified</status>
      <modifiedWord/>
      <trackRevisions>false</trackRevisions>
    </reviewItem>
    <reviewItem>
      <errorID>3ffc95e5-0311-424b-b67f-ea7bc05d4a49</errorID>
      <errorWord>40%-60%</errorWord>
      <group>L1_Knowledge</group>
      <groupName>知识性问题</groupName>
      <ability>L2_Knowledge</ability>
      <abilityName>其他知识</abilityName>
      <candidateList>
        <item>40%—60%</item>
      </candidateList>
      <explain>1. “40%-60%”中的单位“%”仅出现在后一个数字上，容易引起歧义；根据《现代汉语标点符号数字用法规范手册》，数字表示范围两边需要使用统一的格式。2. 根据标点国标 4.13 中的规则，数字、时间或地域连接符应使用（视觉上更长的）“—”或“～”。</explain>
      <paraID> 5EA3B40</paraID>
      <start>32</start>
      <end>39</end>
      <status>unmodified</status>
      <modifiedWord/>
      <trackRevisions>false</trackRevisions>
    </reviewItem>
    <reviewItem>
      <errorID>6cb68e76-bd8d-4106-ba95-097da6db3dcd</errorID>
      <errorWord>标准标准</errorWord>
      <group>L1_Word</group>
      <groupName>字词问题</groupName>
      <ability>L2_Typo</ability>
      <abilityName>字词错误</abilityName>
      <candidateList>
        <item>标准</item>
      </candidateList>
      <explain>❶〈名〉衡量事物的准则：技术～｜实践是检验真理的唯一～。❷〈形〉本身合于准则，可供同类事物比较核对的：～音｜～时｜她的发音很～。</explain>
      <paraID>6083F744</paraID>
      <start>14</start>
      <end>18</end>
      <status>unmodified</status>
      <modifiedWord/>
      <trackRevisions>false</trackRevisions>
    </reviewItem>
    <reviewItem>
      <errorID>146a8a3b-a7b4-4e3d-b81e-b3434ea00012</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69DCE229</paraID>
      <start>49</start>
      <end>52</end>
      <status>unmodified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C1AF38-E83C-4DDA-A90F-CED72D08BFCA}">
  <ds:schemaRefs/>
</ds:datastoreItem>
</file>

<file path=customXml/itemProps3.xml><?xml version="1.0" encoding="utf-8"?>
<ds:datastoreItem xmlns:ds="http://schemas.openxmlformats.org/officeDocument/2006/customXml" ds:itemID="{065704E1-AB07-444E-9D98-0596FBEC82BA}">
  <ds:schemaRefs/>
</ds:datastoreItem>
</file>

<file path=docProps/app.xml><?xml version="1.0" encoding="utf-8"?>
<Properties xmlns="http://schemas.openxmlformats.org/officeDocument/2006/extended-properties" xmlns:vt="http://schemas.openxmlformats.org/officeDocument/2006/docPropsVTypes">
  <Template>Normal</Template>
  <Pages>49</Pages>
  <Words>4274</Words>
  <Characters>24365</Characters>
  <Lines>1</Lines>
  <Paragraphs>1</Paragraphs>
  <TotalTime>1</TotalTime>
  <ScaleCrop>false</ScaleCrop>
  <LinksUpToDate>false</LinksUpToDate>
  <CharactersWithSpaces>28582</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2026-05-19T15:35:00Z</dcterms:created>
  <dc:creator>应立烈</dc:creator>
  <cp:lastModifiedBy>jinziyi</cp:lastModifiedBy>
  <cp:lastPrinted>2019-12-07T23:18:00Z</cp:lastPrinted>
  <dcterms:modified xsi:type="dcterms:W3CDTF">2026-06-10T07:52:05Z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AAA20CCBF84A085521D0286A1B9B0C39_43</vt:lpwstr>
  </property>
  <property fmtid="{D5CDD505-2E9C-101B-9397-08002B2CF9AE}" pid="4" name="_KSOProductBuildMID">
    <vt:lpwstr>SZWFK6GP79TQ06HGQKRNQL007NN0OXPRES0XHJD7XFF8TDWT60BRPCJFFSTTPD6RBEMXOOL0ZIAD8PNJROFTIF8Q8RMMWILBBSOOYHB3AD67020F7CC01234BF74ABD72E48ADEE</vt:lpwstr>
  </property>
  <property fmtid="{D5CDD505-2E9C-101B-9397-08002B2CF9AE}" pid="5" name="_KSOProductBuildSID">
    <vt:lpwstr>DPWFP6GJ79UQ00TG9ZR8QL0J7NZMOXVREU0XLJDWXFMRTFLT66BJICJXFS6TP8IRXXMXLOZMZIX78LJJRUFTDF8Q8RMMWIWBAEOOIHB3DD9BFE2A6B0954B9F1683D20EBDFDB51</vt:lpwstr>
  </property>
  <property fmtid="{D5CDD505-2E9C-101B-9397-08002B2CF9AE}" pid="6" name="KSOTemplateDocerSaveRecord">
    <vt:lpwstr>eyJoZGlkIjoiMzgzOTAzNWMwNjEzYjdhNDhmNmU0NjgwMTRkMjM3NzAiLCJ1c2VySWQiOiIxNzY1NzQ4MzMifQ==</vt:lpwstr>
  </property>
</Properties>
</file>